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80B5E2" w14:textId="77777777" w:rsidR="000E7647" w:rsidRDefault="000E7647" w:rsidP="002D3612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</w:p>
    <w:p w14:paraId="426A5996" w14:textId="77777777" w:rsidR="000E7647" w:rsidRDefault="000E7647" w:rsidP="002D3612">
      <w:pPr>
        <w:pStyle w:val="Heading1"/>
        <w:keepNext w:val="0"/>
        <w:rPr>
          <w:rFonts w:ascii="Times New Roman" w:hAnsi="Times New Roman"/>
          <w:color w:val="auto"/>
          <w:szCs w:val="28"/>
        </w:rPr>
      </w:pPr>
    </w:p>
    <w:p w14:paraId="47006384" w14:textId="77777777" w:rsidR="000E7647" w:rsidRDefault="000E7647" w:rsidP="002D3612">
      <w:pPr>
        <w:pStyle w:val="Heading1"/>
        <w:keepNext w:val="0"/>
        <w:rPr>
          <w:rFonts w:ascii="Times New Roman" w:hAnsi="Times New Roman"/>
          <w:color w:val="auto"/>
          <w:szCs w:val="28"/>
        </w:rPr>
      </w:pPr>
    </w:p>
    <w:p w14:paraId="3167CB68" w14:textId="77777777" w:rsidR="000E7647" w:rsidRDefault="000E7647" w:rsidP="002D3612">
      <w:pPr>
        <w:pStyle w:val="Heading1"/>
        <w:keepNext w:val="0"/>
        <w:rPr>
          <w:rFonts w:ascii="Times New Roman" w:hAnsi="Times New Roman"/>
          <w:color w:val="auto"/>
          <w:szCs w:val="28"/>
        </w:rPr>
      </w:pPr>
    </w:p>
    <w:p w14:paraId="578DF224" w14:textId="75F311D8" w:rsidR="002D3612" w:rsidRPr="00E725FE" w:rsidRDefault="002D3612" w:rsidP="002D3612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14:paraId="7B8F289D" w14:textId="77777777" w:rsidR="002D3612" w:rsidRDefault="002D3612" w:rsidP="002D3612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3E161190" w14:textId="77777777" w:rsidR="002D3612" w:rsidRPr="00E725FE" w:rsidRDefault="002D3612" w:rsidP="002D3612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14:paraId="6FAC84F8" w14:textId="77777777" w:rsidR="002D3612" w:rsidRPr="00E725FE" w:rsidRDefault="002D3612" w:rsidP="002D3612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WORKS CONTRACT FOR EUROPEAN UNION</w:t>
      </w:r>
      <w:r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>
        <w:rPr>
          <w:rFonts w:ascii="Times New Roman" w:hAnsi="Times New Roman"/>
          <w:sz w:val="22"/>
          <w:szCs w:val="22"/>
          <w:lang w:val="en-GB"/>
        </w:rPr>
        <w:t>S</w:t>
      </w:r>
    </w:p>
    <w:p w14:paraId="48761F1F" w14:textId="53E34DFE" w:rsidR="002D3612" w:rsidRPr="004677C7" w:rsidRDefault="002D3612" w:rsidP="002D3612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</w:t>
      </w:r>
      <w:r w:rsidRPr="004677C7">
        <w:rPr>
          <w:b/>
          <w:sz w:val="22"/>
          <w:szCs w:val="22"/>
        </w:rPr>
        <w:t xml:space="preserve"> </w:t>
      </w:r>
      <w:r w:rsidR="009B1867" w:rsidRPr="009B1867">
        <w:rPr>
          <w:b/>
          <w:sz w:val="22"/>
          <w:szCs w:val="22"/>
        </w:rPr>
        <w:t>CB006.2.12.062-07</w:t>
      </w:r>
    </w:p>
    <w:p w14:paraId="7694BA01" w14:textId="542CF867" w:rsidR="002D3612" w:rsidRPr="00E725FE" w:rsidRDefault="002D3612" w:rsidP="002D3612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>FINANCED FROM THE</w:t>
      </w:r>
      <w:r w:rsidR="009B1867">
        <w:rPr>
          <w:b/>
          <w:sz w:val="22"/>
          <w:szCs w:val="22"/>
        </w:rPr>
        <w:t xml:space="preserve"> </w:t>
      </w:r>
      <w:r w:rsidRPr="00DB46AB">
        <w:rPr>
          <w:b/>
          <w:sz w:val="22"/>
          <w:szCs w:val="22"/>
          <w:highlight w:val="lightGray"/>
        </w:rPr>
        <w:t>GENERAL BUDGETOF THE UNION</w:t>
      </w:r>
    </w:p>
    <w:p w14:paraId="42B0BF16" w14:textId="77777777" w:rsidR="002D3612" w:rsidRPr="00D364B4" w:rsidRDefault="002D3612" w:rsidP="002D3612">
      <w:pPr>
        <w:spacing w:after="120"/>
      </w:pPr>
      <w:r w:rsidRPr="00D364B4">
        <w:t>Between</w:t>
      </w:r>
    </w:p>
    <w:p w14:paraId="119F7940" w14:textId="7E2F360A" w:rsidR="002D3612" w:rsidRPr="00A27502" w:rsidRDefault="002D3612" w:rsidP="002D3612">
      <w:pPr>
        <w:keepNext/>
        <w:widowControl w:val="0"/>
        <w:jc w:val="both"/>
        <w:rPr>
          <w:rFonts w:eastAsia="MS Mincho"/>
          <w:b/>
          <w:lang w:val="en-US" w:eastAsia="ja-JP"/>
        </w:rPr>
      </w:pPr>
      <w:r>
        <w:rPr>
          <w:rFonts w:eastAsia="MS Mincho"/>
          <w:b/>
          <w:lang w:val="en-US" w:eastAsia="ja-JP"/>
        </w:rPr>
        <w:t>Municipality of Sandanski with address: Bulgaria, 2800, Sandanski, 14, Svoboda Bul., Identification number: 000024955, VAT</w:t>
      </w:r>
      <w:r>
        <w:rPr>
          <w:rFonts w:eastAsia="MS Mincho"/>
          <w:b/>
          <w:lang w:val="bg-BG" w:eastAsia="ja-JP"/>
        </w:rPr>
        <w:t xml:space="preserve"> №</w:t>
      </w:r>
      <w:r>
        <w:rPr>
          <w:rFonts w:eastAsia="MS Mincho"/>
          <w:b/>
          <w:lang w:val="en-US" w:eastAsia="ja-JP"/>
        </w:rPr>
        <w:t xml:space="preserve">BG000024955, represented by </w:t>
      </w:r>
      <w:r w:rsidR="00BE1FFF">
        <w:rPr>
          <w:rFonts w:eastAsia="MS Mincho"/>
          <w:b/>
          <w:lang w:val="en-US" w:eastAsia="ja-JP"/>
        </w:rPr>
        <w:t xml:space="preserve">Atanas </w:t>
      </w:r>
      <w:proofErr w:type="spellStart"/>
      <w:r w:rsidR="00BE1FFF">
        <w:rPr>
          <w:rFonts w:eastAsia="MS Mincho"/>
          <w:b/>
          <w:lang w:val="en-US" w:eastAsia="ja-JP"/>
        </w:rPr>
        <w:t>Stoyanov</w:t>
      </w:r>
      <w:proofErr w:type="spellEnd"/>
      <w:r>
        <w:rPr>
          <w:rFonts w:eastAsia="MS Mincho"/>
          <w:b/>
          <w:lang w:val="en-US" w:eastAsia="ja-JP"/>
        </w:rPr>
        <w:t>- Mayor and</w:t>
      </w:r>
      <w:r w:rsidR="00BE1FFF">
        <w:rPr>
          <w:rFonts w:eastAsia="MS Mincho"/>
          <w:b/>
          <w:lang w:val="en-US" w:eastAsia="ja-JP"/>
        </w:rPr>
        <w:t xml:space="preserve"> Katya </w:t>
      </w:r>
      <w:proofErr w:type="spellStart"/>
      <w:r w:rsidR="00BE1FFF">
        <w:rPr>
          <w:rFonts w:eastAsia="MS Mincho"/>
          <w:b/>
          <w:lang w:val="en-US" w:eastAsia="ja-JP"/>
        </w:rPr>
        <w:t>Hristova</w:t>
      </w:r>
      <w:proofErr w:type="spellEnd"/>
      <w:r w:rsidR="00BE1FFF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val="en-US" w:eastAsia="ja-JP"/>
        </w:rPr>
        <w:t>-</w:t>
      </w:r>
      <w:r w:rsidR="00BE1FFF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val="en-US" w:eastAsia="ja-JP"/>
        </w:rPr>
        <w:t>chief accountant</w:t>
      </w:r>
    </w:p>
    <w:p w14:paraId="2DFB3FF4" w14:textId="77777777" w:rsidR="002D3612" w:rsidRPr="00E725FE" w:rsidRDefault="002D3612" w:rsidP="002D3612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 xml:space="preserve"> (</w:t>
      </w:r>
      <w:r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>
        <w:rPr>
          <w:sz w:val="22"/>
          <w:szCs w:val="22"/>
        </w:rPr>
        <w:t>’</w:t>
      </w:r>
      <w:r w:rsidRPr="00E725FE">
        <w:rPr>
          <w:sz w:val="22"/>
          <w:szCs w:val="22"/>
        </w:rPr>
        <w:t>),</w:t>
      </w:r>
    </w:p>
    <w:p w14:paraId="1AD133DB" w14:textId="77777777" w:rsidR="002D3612" w:rsidRPr="00E725FE" w:rsidRDefault="002D3612" w:rsidP="002D361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14:paraId="66BF2595" w14:textId="77777777" w:rsidR="002D3612" w:rsidRPr="00E725FE" w:rsidRDefault="002D3612" w:rsidP="002D361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14:paraId="4E11BAD7" w14:textId="77777777" w:rsidR="002D3612" w:rsidRPr="00E725FE" w:rsidRDefault="002D3612" w:rsidP="002D3612">
      <w:pPr>
        <w:rPr>
          <w:sz w:val="22"/>
          <w:szCs w:val="22"/>
        </w:rPr>
      </w:pPr>
    </w:p>
    <w:p w14:paraId="1939B1A9" w14:textId="77777777" w:rsidR="002D3612" w:rsidRPr="00E725FE" w:rsidRDefault="002D3612" w:rsidP="002D361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14:paraId="556154EB" w14:textId="77777777" w:rsidR="002D3612" w:rsidRPr="00E725FE" w:rsidRDefault="002D3612" w:rsidP="002D361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14:paraId="1203A1E0" w14:textId="77777777" w:rsidR="002D3612" w:rsidRPr="00E725FE" w:rsidRDefault="002D3612" w:rsidP="002D361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14:paraId="3065D46F" w14:textId="77777777" w:rsidR="002D3612" w:rsidRPr="00E725FE" w:rsidRDefault="002D3612" w:rsidP="002D361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14:paraId="4D9379CB" w14:textId="77777777" w:rsidR="002D3612" w:rsidRPr="00E725FE" w:rsidRDefault="002D3612" w:rsidP="002D361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>
        <w:rPr>
          <w:sz w:val="22"/>
          <w:szCs w:val="22"/>
        </w:rPr>
        <w:t>,</w:t>
      </w:r>
      <w:r w:rsidRPr="00E725FE">
        <w:rPr>
          <w:rStyle w:val="FootnoteReference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14:paraId="2DB447EC" w14:textId="77777777" w:rsidR="002D3612" w:rsidRPr="00E725FE" w:rsidRDefault="002D3612" w:rsidP="002D3612">
      <w:pPr>
        <w:jc w:val="both"/>
        <w:rPr>
          <w:sz w:val="22"/>
          <w:szCs w:val="22"/>
        </w:rPr>
      </w:pPr>
    </w:p>
    <w:p w14:paraId="78380724" w14:textId="77777777" w:rsidR="002D3612" w:rsidRPr="00E725FE" w:rsidRDefault="002D3612" w:rsidP="002D361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14:paraId="1876EB30" w14:textId="77777777" w:rsidR="002D3612" w:rsidRPr="00E725FE" w:rsidRDefault="002D3612" w:rsidP="002D3612">
      <w:pPr>
        <w:rPr>
          <w:sz w:val="22"/>
          <w:szCs w:val="22"/>
        </w:rPr>
      </w:pPr>
    </w:p>
    <w:p w14:paraId="252954B3" w14:textId="77777777" w:rsidR="002D3612" w:rsidRPr="00E725FE" w:rsidRDefault="002D3612" w:rsidP="002D361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14:paraId="3DA31CB6" w14:textId="77777777" w:rsidR="002D3612" w:rsidRPr="00E725FE" w:rsidRDefault="002D3612" w:rsidP="002D361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14:paraId="3591491C" w14:textId="77777777" w:rsidR="002D3612" w:rsidRDefault="002D3612" w:rsidP="002D361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14:paraId="21AE8C98" w14:textId="77777777" w:rsidR="002D3612" w:rsidRPr="00E725FE" w:rsidRDefault="002D3612" w:rsidP="002D3612">
      <w:pPr>
        <w:rPr>
          <w:sz w:val="22"/>
          <w:szCs w:val="22"/>
        </w:rPr>
      </w:pPr>
    </w:p>
    <w:p w14:paraId="40545964" w14:textId="7EC9B1B0" w:rsidR="002D3612" w:rsidRPr="007753C9" w:rsidRDefault="002D3612" w:rsidP="009B1867">
      <w:pPr>
        <w:pStyle w:val="PRAGHeading2"/>
        <w:numPr>
          <w:ilvl w:val="0"/>
          <w:numId w:val="0"/>
        </w:numPr>
        <w:jc w:val="center"/>
        <w:rPr>
          <w:snapToGrid/>
          <w:sz w:val="22"/>
          <w:szCs w:val="22"/>
          <w:lang w:val="en-US"/>
        </w:rPr>
      </w:pPr>
      <w:proofErr w:type="gramStart"/>
      <w:r w:rsidRPr="009B1867">
        <w:rPr>
          <w:b/>
          <w:bCs/>
          <w:sz w:val="22"/>
          <w:szCs w:val="22"/>
        </w:rPr>
        <w:t>PROJECT</w:t>
      </w:r>
      <w:r w:rsidRPr="007753C9">
        <w:rPr>
          <w:sz w:val="22"/>
          <w:szCs w:val="22"/>
        </w:rPr>
        <w:t>:</w:t>
      </w:r>
      <w:proofErr w:type="gramEnd"/>
      <w:r w:rsidRPr="007753C9">
        <w:rPr>
          <w:sz w:val="22"/>
          <w:szCs w:val="22"/>
        </w:rPr>
        <w:t xml:space="preserve"> </w:t>
      </w:r>
      <w:r w:rsidRPr="009B1867">
        <w:rPr>
          <w:bCs/>
          <w:snapToGrid/>
          <w:sz w:val="22"/>
          <w:szCs w:val="22"/>
          <w:lang w:val="en-US"/>
        </w:rPr>
        <w:t>“JOINT ACTIONS FOR PREVENTION AND REDUCTION OF THE CONSEQUENCES OF DISASTERS IN THE MUNICIPALITIES OF SANDANSKI AND RADOVISH”</w:t>
      </w:r>
    </w:p>
    <w:p w14:paraId="7EF637AD" w14:textId="7CBE91FF" w:rsidR="002D3612" w:rsidRDefault="002D3612" w:rsidP="009B1867">
      <w:pPr>
        <w:spacing w:before="24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CONTRACT TITLE:</w:t>
      </w:r>
      <w:r w:rsidRPr="007753C9">
        <w:rPr>
          <w:sz w:val="22"/>
          <w:szCs w:val="22"/>
        </w:rPr>
        <w:t xml:space="preserve"> </w:t>
      </w:r>
      <w:r w:rsidR="009B1867">
        <w:rPr>
          <w:bCs/>
          <w:sz w:val="22"/>
          <w:szCs w:val="22"/>
        </w:rPr>
        <w:t>“</w:t>
      </w:r>
      <w:r w:rsidRPr="009B1867">
        <w:rPr>
          <w:bCs/>
          <w:sz w:val="22"/>
          <w:szCs w:val="22"/>
        </w:rPr>
        <w:t>CONSTRUCTION WORKS TO STRENGTHEN THE BANKS AND THE BED OF THE SANDANSKА BISTRITSA RIVER IN THE VILLAGE OF LILYANOVO, MUNICIPALITY OF SANDANSKI”</w:t>
      </w:r>
    </w:p>
    <w:p w14:paraId="46C2ECB2" w14:textId="77777777" w:rsidR="002D3612" w:rsidRPr="00E725FE" w:rsidRDefault="002D3612" w:rsidP="002D3612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>Identification number</w:t>
      </w:r>
      <w:r>
        <w:rPr>
          <w:b/>
          <w:sz w:val="22"/>
          <w:szCs w:val="22"/>
        </w:rPr>
        <w:t xml:space="preserve">: </w:t>
      </w:r>
      <w:r w:rsidRPr="00DF50E8">
        <w:rPr>
          <w:sz w:val="22"/>
          <w:szCs w:val="22"/>
        </w:rPr>
        <w:t>CB006.2.12.062-07</w:t>
      </w:r>
    </w:p>
    <w:p w14:paraId="3EFF4474" w14:textId="77777777" w:rsidR="002D3612" w:rsidRPr="00E725FE" w:rsidRDefault="002D3612" w:rsidP="002D3612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>
        <w:rPr>
          <w:sz w:val="22"/>
          <w:szCs w:val="22"/>
        </w:rPr>
        <w:t xml:space="preserve">would like the contractor to carry out the following </w:t>
      </w:r>
      <w:r w:rsidRPr="00E725FE">
        <w:rPr>
          <w:sz w:val="22"/>
          <w:szCs w:val="22"/>
        </w:rPr>
        <w:t>work</w:t>
      </w:r>
      <w:r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14:paraId="2F317565" w14:textId="1527E04F" w:rsidR="002D3612" w:rsidRPr="00E725FE" w:rsidRDefault="002D3612" w:rsidP="009B1867">
      <w:pPr>
        <w:spacing w:before="240"/>
        <w:ind w:right="-45"/>
        <w:jc w:val="both"/>
        <w:rPr>
          <w:sz w:val="22"/>
          <w:szCs w:val="22"/>
        </w:rPr>
      </w:pPr>
      <w:r w:rsidRPr="00E725FE">
        <w:rPr>
          <w:b/>
          <w:sz w:val="22"/>
          <w:szCs w:val="22"/>
        </w:rPr>
        <w:t xml:space="preserve">Construction </w:t>
      </w:r>
      <w:r w:rsidR="009B1867" w:rsidRPr="009B1867">
        <w:rPr>
          <w:b/>
          <w:sz w:val="22"/>
          <w:szCs w:val="22"/>
        </w:rPr>
        <w:t xml:space="preserve">and works </w:t>
      </w:r>
      <w:bookmarkStart w:id="4" w:name="_Hlk55547550"/>
      <w:r w:rsidR="009B1867" w:rsidRPr="009B1867">
        <w:rPr>
          <w:b/>
          <w:sz w:val="22"/>
          <w:szCs w:val="22"/>
        </w:rPr>
        <w:t xml:space="preserve">on a specific section of the </w:t>
      </w:r>
      <w:proofErr w:type="spellStart"/>
      <w:r w:rsidR="009B1867" w:rsidRPr="009B1867">
        <w:rPr>
          <w:b/>
          <w:sz w:val="22"/>
          <w:szCs w:val="22"/>
        </w:rPr>
        <w:t>Sandanska</w:t>
      </w:r>
      <w:proofErr w:type="spellEnd"/>
      <w:r w:rsidR="009B1867" w:rsidRPr="009B1867">
        <w:rPr>
          <w:b/>
          <w:sz w:val="22"/>
          <w:szCs w:val="22"/>
        </w:rPr>
        <w:t xml:space="preserve"> Bistritsa riverbed</w:t>
      </w:r>
      <w:r w:rsidR="00470795">
        <w:rPr>
          <w:b/>
          <w:sz w:val="22"/>
          <w:szCs w:val="22"/>
        </w:rPr>
        <w:t xml:space="preserve"> in accordance to the provided technical specifications and construction documents</w:t>
      </w:r>
      <w:r w:rsidR="009B1867" w:rsidRPr="009B1867">
        <w:rPr>
          <w:b/>
          <w:sz w:val="22"/>
          <w:szCs w:val="22"/>
        </w:rPr>
        <w:t xml:space="preserve">, located in the villages of Lilyanovo and </w:t>
      </w:r>
      <w:proofErr w:type="spellStart"/>
      <w:r w:rsidR="009B1867" w:rsidRPr="009B1867">
        <w:rPr>
          <w:b/>
          <w:sz w:val="22"/>
          <w:szCs w:val="22"/>
        </w:rPr>
        <w:t>Stozha</w:t>
      </w:r>
      <w:proofErr w:type="spellEnd"/>
      <w:r w:rsidR="009B1867" w:rsidRPr="009B1867">
        <w:rPr>
          <w:b/>
          <w:sz w:val="22"/>
          <w:szCs w:val="22"/>
        </w:rPr>
        <w:t>, including construction of corrective walls, construction of water catchment, gabions, as well as other works related to cleaning and deepening of the river bed, shaping of slopes, forestation, etc</w:t>
      </w:r>
      <w:bookmarkEnd w:id="4"/>
      <w:r w:rsidR="009B1867" w:rsidRPr="009B1867">
        <w:rPr>
          <w:b/>
          <w:sz w:val="22"/>
          <w:szCs w:val="22"/>
        </w:rPr>
        <w:t>.</w:t>
      </w:r>
      <w:r w:rsidR="009B1867">
        <w:rPr>
          <w:b/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and has accepted a tender by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14:paraId="1771609C" w14:textId="77777777" w:rsidR="002D3612" w:rsidRPr="00E725FE" w:rsidRDefault="002D3612" w:rsidP="002D3612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14:paraId="73940DFF" w14:textId="77777777" w:rsidR="002D3612" w:rsidRPr="00E725FE" w:rsidRDefault="002D3612" w:rsidP="002D3612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Pr="00E725FE">
        <w:rPr>
          <w:sz w:val="22"/>
          <w:szCs w:val="22"/>
        </w:rPr>
        <w:tab/>
        <w:t xml:space="preserve">In this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>
        <w:rPr>
          <w:sz w:val="22"/>
          <w:szCs w:val="22"/>
        </w:rPr>
        <w:t>,</w:t>
      </w:r>
      <w:r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14:paraId="11E9DADD" w14:textId="77777777" w:rsidR="002D3612" w:rsidRPr="00E725FE" w:rsidRDefault="002D3612" w:rsidP="002D3612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ontract, in the following order of precedence:</w:t>
      </w:r>
    </w:p>
    <w:p w14:paraId="537E0110" w14:textId="77777777" w:rsidR="002D3612" w:rsidRPr="00E725FE" w:rsidRDefault="002D3612" w:rsidP="002D3612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14:paraId="23FBA62B" w14:textId="77777777" w:rsidR="002D3612" w:rsidRPr="00E725FE" w:rsidRDefault="002D3612" w:rsidP="002D3612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14:paraId="082293EB" w14:textId="77777777" w:rsidR="002D3612" w:rsidRPr="002F0C4E" w:rsidRDefault="002D3612" w:rsidP="002D3612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14:paraId="31915F1C" w14:textId="77777777" w:rsidR="002D3612" w:rsidRPr="002F0C4E" w:rsidRDefault="002D3612" w:rsidP="002D3612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Pr="002F0C4E">
        <w:t xml:space="preserve">and/or </w:t>
      </w:r>
      <w:r>
        <w:t>p</w:t>
      </w:r>
      <w:r w:rsidRPr="002F0C4E">
        <w:t xml:space="preserve">erformance </w:t>
      </w:r>
      <w:r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14:paraId="30FA8C9D" w14:textId="77777777" w:rsidR="002D3612" w:rsidRPr="002F0C4E" w:rsidRDefault="002D3612" w:rsidP="002D3612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14:paraId="16F13BE7" w14:textId="77777777" w:rsidR="002D3612" w:rsidRPr="0092758C" w:rsidRDefault="002D3612" w:rsidP="002D3612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>the breakdown of</w:t>
      </w:r>
      <w:r w:rsidRPr="0092758C">
        <w:rPr>
          <w:sz w:val="22"/>
          <w:szCs w:val="22"/>
        </w:rPr>
        <w:t xml:space="preserve"> lump-sum price,</w:t>
      </w:r>
    </w:p>
    <w:p w14:paraId="3F93D0BA" w14:textId="77777777" w:rsidR="002D3612" w:rsidRPr="00E725FE" w:rsidRDefault="002D3612" w:rsidP="002D3612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14:paraId="24BB582C" w14:textId="77777777" w:rsidR="002D3612" w:rsidRPr="007753C9" w:rsidRDefault="002D3612" w:rsidP="002D3612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42325957" w14:textId="77777777" w:rsidR="002D3612" w:rsidRPr="00E725FE" w:rsidRDefault="002D3612" w:rsidP="002D3612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Pr="00E725FE">
        <w:rPr>
          <w:sz w:val="22"/>
          <w:szCs w:val="22"/>
        </w:rPr>
        <w:t xml:space="preserve">Addenda shall have the order of precedence of the document they are </w:t>
      </w:r>
      <w:r>
        <w:rPr>
          <w:sz w:val="22"/>
          <w:szCs w:val="22"/>
        </w:rPr>
        <w:t>a</w:t>
      </w:r>
      <w:r w:rsidRPr="00E725FE">
        <w:rPr>
          <w:sz w:val="22"/>
          <w:szCs w:val="22"/>
        </w:rPr>
        <w:t>m</w:t>
      </w:r>
      <w:r>
        <w:rPr>
          <w:sz w:val="22"/>
          <w:szCs w:val="22"/>
        </w:rPr>
        <w:t>ending</w:t>
      </w:r>
      <w:r w:rsidRPr="00E725FE">
        <w:rPr>
          <w:sz w:val="22"/>
          <w:szCs w:val="22"/>
        </w:rPr>
        <w:t>.</w:t>
      </w:r>
    </w:p>
    <w:p w14:paraId="209A31C7" w14:textId="77777777" w:rsidR="002D3612" w:rsidRPr="00E725FE" w:rsidRDefault="002D3612" w:rsidP="002D3612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Pr="00E725FE">
        <w:rPr>
          <w:sz w:val="22"/>
          <w:szCs w:val="22"/>
        </w:rPr>
        <w:tab/>
        <w:t xml:space="preserve">In consideration of the payments to be made by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to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as hereinafter mentioned,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56746A98" w14:textId="77777777" w:rsidR="002D3612" w:rsidRPr="00E725FE" w:rsidRDefault="002D3612" w:rsidP="002D3612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Pr="00E725FE">
        <w:rPr>
          <w:sz w:val="22"/>
          <w:szCs w:val="22"/>
        </w:rPr>
        <w:tab/>
        <w:t xml:space="preserve">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hereby agrees to pay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14:paraId="580F4B33" w14:textId="77777777" w:rsidR="00E34C8C" w:rsidRPr="00E725FE" w:rsidRDefault="00E34C8C" w:rsidP="00E34C8C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</w:t>
      </w:r>
      <w:r w:rsidRPr="00D0622A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>other taxes)</w:t>
      </w:r>
      <w:r>
        <w:rPr>
          <w:sz w:val="22"/>
          <w:szCs w:val="22"/>
        </w:rPr>
        <w:t xml:space="preserve"> BGN &lt;</w:t>
      </w:r>
      <w:r w:rsidRPr="00BB2A1F">
        <w:rPr>
          <w:sz w:val="22"/>
          <w:szCs w:val="22"/>
        </w:rPr>
        <w:t>amount</w:t>
      </w:r>
      <w:r>
        <w:rPr>
          <w:sz w:val="22"/>
          <w:szCs w:val="22"/>
        </w:rPr>
        <w:t>&gt;</w:t>
      </w:r>
    </w:p>
    <w:p w14:paraId="5DC4C323" w14:textId="77777777" w:rsidR="00E34C8C" w:rsidRPr="00E725FE" w:rsidRDefault="00E34C8C" w:rsidP="00E34C8C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Pr="00E725FE">
        <w:rPr>
          <w:sz w:val="22"/>
          <w:szCs w:val="22"/>
        </w:rPr>
        <w:t>VAT and other taxes</w:t>
      </w:r>
      <w:r>
        <w:rPr>
          <w:sz w:val="22"/>
          <w:szCs w:val="22"/>
        </w:rPr>
        <w:t xml:space="preserve"> BGN</w:t>
      </w:r>
      <w:r w:rsidRPr="00D0622A">
        <w:rPr>
          <w:sz w:val="22"/>
          <w:szCs w:val="22"/>
        </w:rPr>
        <w:t xml:space="preserve"> </w:t>
      </w:r>
      <w:r>
        <w:rPr>
          <w:sz w:val="22"/>
          <w:szCs w:val="22"/>
        </w:rPr>
        <w:t>&lt;</w:t>
      </w:r>
      <w:r w:rsidRPr="00BB2A1F">
        <w:rPr>
          <w:sz w:val="22"/>
          <w:szCs w:val="22"/>
        </w:rPr>
        <w:t>amount</w:t>
      </w:r>
      <w:r>
        <w:rPr>
          <w:sz w:val="22"/>
          <w:szCs w:val="22"/>
        </w:rPr>
        <w:t>&gt;</w:t>
      </w:r>
      <w:r w:rsidRPr="00FA4CF7">
        <w:t xml:space="preserve"> </w:t>
      </w:r>
    </w:p>
    <w:p w14:paraId="607EF253" w14:textId="77777777" w:rsidR="00E34C8C" w:rsidRPr="00E725FE" w:rsidRDefault="00E34C8C" w:rsidP="00E34C8C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Pr="00E725FE">
        <w:rPr>
          <w:sz w:val="22"/>
          <w:szCs w:val="22"/>
        </w:rPr>
        <w:t xml:space="preserve">Contract price </w:t>
      </w:r>
      <w:r>
        <w:rPr>
          <w:sz w:val="22"/>
          <w:szCs w:val="22"/>
        </w:rPr>
        <w:t>BGN</w:t>
      </w:r>
      <w:r w:rsidRPr="00D0622A">
        <w:rPr>
          <w:sz w:val="22"/>
          <w:szCs w:val="22"/>
        </w:rPr>
        <w:t xml:space="preserve"> </w:t>
      </w:r>
      <w:r w:rsidRPr="00BB2A1F">
        <w:rPr>
          <w:sz w:val="22"/>
          <w:szCs w:val="22"/>
        </w:rPr>
        <w:t xml:space="preserve">&lt;amount&gt; </w:t>
      </w:r>
      <w:r>
        <w:rPr>
          <w:sz w:val="22"/>
          <w:szCs w:val="22"/>
        </w:rPr>
        <w:t>&lt;</w:t>
      </w:r>
      <w:r w:rsidRPr="00BB2A1F">
        <w:rPr>
          <w:sz w:val="22"/>
          <w:szCs w:val="22"/>
        </w:rPr>
        <w:t>amount in words</w:t>
      </w:r>
      <w:r>
        <w:rPr>
          <w:sz w:val="22"/>
          <w:szCs w:val="22"/>
        </w:rPr>
        <w:t xml:space="preserve">&gt; </w:t>
      </w:r>
    </w:p>
    <w:p w14:paraId="7184ABDE" w14:textId="77777777" w:rsidR="002D3612" w:rsidRDefault="002D3612" w:rsidP="002D3612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>
        <w:rPr>
          <w:sz w:val="22"/>
          <w:szCs w:val="22"/>
        </w:rPr>
        <w:t>wi</w:t>
      </w:r>
      <w:r w:rsidRPr="00E725FE">
        <w:rPr>
          <w:sz w:val="22"/>
          <w:szCs w:val="22"/>
        </w:rPr>
        <w:t xml:space="preserve">ll be paid in compliance with the binding </w:t>
      </w:r>
      <w:r w:rsidRPr="00E725FE">
        <w:rPr>
          <w:sz w:val="22"/>
          <w:szCs w:val="22"/>
        </w:rPr>
        <w:lastRenderedPageBreak/>
        <w:t>regulations, national law and international agreements concerning the execution of the pro</w:t>
      </w:r>
      <w:r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14:paraId="09C25DB6" w14:textId="77777777" w:rsidR="002D3612" w:rsidRDefault="002D3612" w:rsidP="002D3612">
      <w:pPr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>
        <w:rPr>
          <w:sz w:val="22"/>
          <w:szCs w:val="22"/>
        </w:rPr>
        <w:t>p</w:t>
      </w:r>
      <w:r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p w14:paraId="0091BE8D" w14:textId="77777777" w:rsidR="002D3612" w:rsidRPr="00DD74D3" w:rsidRDefault="002D3612" w:rsidP="002D3612">
      <w:pPr>
        <w:spacing w:after="240"/>
        <w:ind w:left="567" w:right="-45" w:hanging="567"/>
        <w:jc w:val="both"/>
        <w:rPr>
          <w:sz w:val="22"/>
          <w:szCs w:val="22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6387"/>
        <w:gridCol w:w="1126"/>
      </w:tblGrid>
      <w:tr w:rsidR="00CB334C" w:rsidRPr="00DD74D3" w14:paraId="203EE691" w14:textId="77777777" w:rsidTr="00CB334C">
        <w:tc>
          <w:tcPr>
            <w:tcW w:w="425" w:type="dxa"/>
            <w:shd w:val="clear" w:color="auto" w:fill="D9D9D9"/>
          </w:tcPr>
          <w:p w14:paraId="1C4014E5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805" w:type="dxa"/>
            <w:gridSpan w:val="2"/>
            <w:shd w:val="clear" w:color="auto" w:fill="D9D9D9"/>
          </w:tcPr>
          <w:p w14:paraId="616E4944" w14:textId="77777777" w:rsidR="00E34C8C" w:rsidRPr="00DD74D3" w:rsidRDefault="00E34C8C" w:rsidP="000132B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14:paraId="5EFD98C2" w14:textId="77777777" w:rsidR="00E34C8C" w:rsidRPr="00DD74D3" w:rsidRDefault="00E34C8C" w:rsidP="000132B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D9D9D9"/>
          </w:tcPr>
          <w:p w14:paraId="41DA2943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  <w:p w14:paraId="696DC08F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  <w:p w14:paraId="32812A42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E34C8C" w:rsidRPr="00DD74D3" w14:paraId="1DFF11F8" w14:textId="77777777" w:rsidTr="00E34C8C">
        <w:tc>
          <w:tcPr>
            <w:tcW w:w="425" w:type="dxa"/>
            <w:shd w:val="clear" w:color="auto" w:fill="auto"/>
          </w:tcPr>
          <w:p w14:paraId="2820122F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1664FD1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6387" w:type="dxa"/>
            <w:shd w:val="clear" w:color="auto" w:fill="auto"/>
          </w:tcPr>
          <w:p w14:paraId="7D10EE59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126" w:type="dxa"/>
            <w:shd w:val="clear" w:color="auto" w:fill="auto"/>
          </w:tcPr>
          <w:p w14:paraId="0D94BC0E" w14:textId="77777777" w:rsidR="00E34C8C" w:rsidRPr="00DD74D3" w:rsidRDefault="00E34C8C" w:rsidP="000132B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E34C8C" w:rsidRPr="00DD74D3" w14:paraId="5748728D" w14:textId="77777777" w:rsidTr="00E34C8C">
        <w:tc>
          <w:tcPr>
            <w:tcW w:w="425" w:type="dxa"/>
            <w:shd w:val="clear" w:color="auto" w:fill="auto"/>
          </w:tcPr>
          <w:p w14:paraId="5D61295D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37CBF8E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387" w:type="dxa"/>
            <w:shd w:val="clear" w:color="auto" w:fill="auto"/>
          </w:tcPr>
          <w:p w14:paraId="13CDA492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Prices cannot be revised</w:t>
            </w:r>
          </w:p>
        </w:tc>
        <w:tc>
          <w:tcPr>
            <w:tcW w:w="1126" w:type="dxa"/>
            <w:shd w:val="clear" w:color="auto" w:fill="auto"/>
          </w:tcPr>
          <w:p w14:paraId="532F43CA" w14:textId="77777777" w:rsidR="00E34C8C" w:rsidRPr="00DD74D3" w:rsidRDefault="00E34C8C" w:rsidP="000132B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E34C8C" w:rsidRPr="00DD74D3" w14:paraId="5A6E755B" w14:textId="77777777" w:rsidTr="00E34C8C">
        <w:tc>
          <w:tcPr>
            <w:tcW w:w="425" w:type="dxa"/>
            <w:shd w:val="clear" w:color="auto" w:fill="auto"/>
          </w:tcPr>
          <w:p w14:paraId="115F60B8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bookmarkStart w:id="5" w:name="_Hlk55547702"/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30E2FFD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6387" w:type="dxa"/>
            <w:shd w:val="clear" w:color="auto" w:fill="auto"/>
          </w:tcPr>
          <w:p w14:paraId="2253B8C8" w14:textId="6B984B6D" w:rsidR="00E34C8C" w:rsidRPr="0090785F" w:rsidRDefault="00626039" w:rsidP="000132B1">
            <w:pPr>
              <w:jc w:val="both"/>
              <w:rPr>
                <w:rFonts w:eastAsia="Calibri"/>
                <w:snapToGrid/>
                <w:sz w:val="22"/>
                <w:szCs w:val="22"/>
                <w:highlight w:val="yellow"/>
              </w:rPr>
            </w:pPr>
            <w:r>
              <w:rPr>
                <w:rFonts w:eastAsia="Calibri"/>
                <w:snapToGrid/>
                <w:sz w:val="22"/>
                <w:szCs w:val="22"/>
                <w:highlight w:val="yellow"/>
              </w:rPr>
              <w:t>6</w:t>
            </w:r>
            <w:r w:rsidR="00E34C8C" w:rsidRPr="0090785F">
              <w:rPr>
                <w:rFonts w:eastAsia="Calibri"/>
                <w:snapToGrid/>
                <w:sz w:val="22"/>
                <w:szCs w:val="22"/>
                <w:highlight w:val="yellow"/>
              </w:rPr>
              <w:t xml:space="preserve"> months (1</w:t>
            </w:r>
            <w:r>
              <w:rPr>
                <w:rFonts w:eastAsia="Calibri"/>
                <w:snapToGrid/>
                <w:sz w:val="22"/>
                <w:szCs w:val="22"/>
                <w:highlight w:val="yellow"/>
              </w:rPr>
              <w:t>8</w:t>
            </w:r>
            <w:r w:rsidR="00E34C8C" w:rsidRPr="0090785F">
              <w:rPr>
                <w:rFonts w:eastAsia="Calibri"/>
                <w:snapToGrid/>
                <w:sz w:val="22"/>
                <w:szCs w:val="22"/>
                <w:highlight w:val="yellow"/>
              </w:rPr>
              <w:t>0 days) implementation of works</w:t>
            </w:r>
          </w:p>
        </w:tc>
        <w:tc>
          <w:tcPr>
            <w:tcW w:w="1126" w:type="dxa"/>
            <w:shd w:val="clear" w:color="auto" w:fill="auto"/>
          </w:tcPr>
          <w:p w14:paraId="00E48928" w14:textId="77777777" w:rsidR="00E34C8C" w:rsidRPr="00DD74D3" w:rsidRDefault="00E34C8C" w:rsidP="000132B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bookmarkEnd w:id="5"/>
      <w:tr w:rsidR="00E34C8C" w:rsidRPr="00DD74D3" w14:paraId="5A33C8F0" w14:textId="77777777" w:rsidTr="00E34C8C">
        <w:tc>
          <w:tcPr>
            <w:tcW w:w="425" w:type="dxa"/>
            <w:shd w:val="clear" w:color="auto" w:fill="auto"/>
          </w:tcPr>
          <w:p w14:paraId="5A991C3E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EDD6950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387" w:type="dxa"/>
            <w:shd w:val="clear" w:color="auto" w:fill="auto"/>
          </w:tcPr>
          <w:p w14:paraId="4F1E0664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Provisional acceptance, after completion of works</w:t>
            </w:r>
          </w:p>
        </w:tc>
        <w:tc>
          <w:tcPr>
            <w:tcW w:w="1126" w:type="dxa"/>
            <w:shd w:val="clear" w:color="auto" w:fill="auto"/>
          </w:tcPr>
          <w:p w14:paraId="4DE80C7C" w14:textId="77777777" w:rsidR="00E34C8C" w:rsidRPr="00DD74D3" w:rsidRDefault="00E34C8C" w:rsidP="000132B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E34C8C" w:rsidRPr="00DD74D3" w14:paraId="1734BD18" w14:textId="77777777" w:rsidTr="00E34C8C">
        <w:tc>
          <w:tcPr>
            <w:tcW w:w="425" w:type="dxa"/>
            <w:shd w:val="clear" w:color="auto" w:fill="auto"/>
          </w:tcPr>
          <w:p w14:paraId="0FB07B81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07EAEF4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387" w:type="dxa"/>
            <w:shd w:val="clear" w:color="auto" w:fill="auto"/>
          </w:tcPr>
          <w:p w14:paraId="170A64C4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Defects liability period after provisional acceptance</w:t>
            </w:r>
            <w:r>
              <w:rPr>
                <w:rFonts w:eastAsia="Calibri"/>
                <w:snapToGrid/>
                <w:sz w:val="22"/>
                <w:szCs w:val="22"/>
              </w:rPr>
              <w:t xml:space="preserve"> as per applicable Bulgarian legislation</w:t>
            </w:r>
          </w:p>
        </w:tc>
        <w:tc>
          <w:tcPr>
            <w:tcW w:w="1126" w:type="dxa"/>
            <w:shd w:val="clear" w:color="auto" w:fill="auto"/>
          </w:tcPr>
          <w:p w14:paraId="04C8676F" w14:textId="77777777" w:rsidR="00E34C8C" w:rsidRPr="00DD74D3" w:rsidRDefault="00E34C8C" w:rsidP="000132B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E34C8C" w:rsidRPr="00DD74D3" w14:paraId="7835D9F9" w14:textId="77777777" w:rsidTr="00E34C8C">
        <w:tc>
          <w:tcPr>
            <w:tcW w:w="425" w:type="dxa"/>
            <w:shd w:val="clear" w:color="auto" w:fill="auto"/>
          </w:tcPr>
          <w:p w14:paraId="5D47008B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7ECCD3F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6387" w:type="dxa"/>
            <w:shd w:val="clear" w:color="auto" w:fill="auto"/>
          </w:tcPr>
          <w:p w14:paraId="228AA588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Final acceptance, after expiry of defects liability period</w:t>
            </w:r>
          </w:p>
        </w:tc>
        <w:tc>
          <w:tcPr>
            <w:tcW w:w="1126" w:type="dxa"/>
            <w:shd w:val="clear" w:color="auto" w:fill="auto"/>
          </w:tcPr>
          <w:p w14:paraId="3BFD1C5C" w14:textId="77777777" w:rsidR="00E34C8C" w:rsidRPr="00DD74D3" w:rsidRDefault="00E34C8C" w:rsidP="000132B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62</w:t>
            </w:r>
          </w:p>
        </w:tc>
      </w:tr>
      <w:tr w:rsidR="00E34C8C" w:rsidRPr="00DD74D3" w14:paraId="0257B9DC" w14:textId="77777777" w:rsidTr="00E34C8C">
        <w:tc>
          <w:tcPr>
            <w:tcW w:w="425" w:type="dxa"/>
            <w:shd w:val="clear" w:color="auto" w:fill="auto"/>
          </w:tcPr>
          <w:p w14:paraId="44F81C85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7D6AE5EA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6387" w:type="dxa"/>
            <w:shd w:val="clear" w:color="auto" w:fill="auto"/>
          </w:tcPr>
          <w:p w14:paraId="09034CC7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126" w:type="dxa"/>
            <w:shd w:val="clear" w:color="auto" w:fill="auto"/>
          </w:tcPr>
          <w:p w14:paraId="5EA5310D" w14:textId="77777777" w:rsidR="00E34C8C" w:rsidRPr="00DD74D3" w:rsidRDefault="00E34C8C" w:rsidP="000132B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E34C8C" w:rsidRPr="00DD74D3" w14:paraId="5DFCEA51" w14:textId="77777777" w:rsidTr="00E34C8C">
        <w:tc>
          <w:tcPr>
            <w:tcW w:w="425" w:type="dxa"/>
            <w:shd w:val="clear" w:color="auto" w:fill="auto"/>
          </w:tcPr>
          <w:p w14:paraId="7A81E33E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63F7B5D0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6387" w:type="dxa"/>
            <w:shd w:val="clear" w:color="auto" w:fill="auto"/>
          </w:tcPr>
          <w:p w14:paraId="3106D9E2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BB2A1F">
              <w:rPr>
                <w:rFonts w:eastAsia="Calibri"/>
                <w:snapToGrid/>
                <w:sz w:val="22"/>
                <w:szCs w:val="22"/>
              </w:rPr>
              <w:t>To be specified</w:t>
            </w:r>
          </w:p>
        </w:tc>
        <w:tc>
          <w:tcPr>
            <w:tcW w:w="1126" w:type="dxa"/>
            <w:shd w:val="clear" w:color="auto" w:fill="auto"/>
          </w:tcPr>
          <w:p w14:paraId="6EE18D76" w14:textId="77777777" w:rsidR="00E34C8C" w:rsidRPr="00DD74D3" w:rsidRDefault="00E34C8C" w:rsidP="000132B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E34C8C" w:rsidRPr="00DD74D3" w14:paraId="7443198A" w14:textId="77777777" w:rsidTr="00E34C8C">
        <w:tc>
          <w:tcPr>
            <w:tcW w:w="425" w:type="dxa"/>
            <w:shd w:val="clear" w:color="auto" w:fill="auto"/>
          </w:tcPr>
          <w:p w14:paraId="4AB60868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46D5599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6387" w:type="dxa"/>
            <w:shd w:val="clear" w:color="auto" w:fill="auto"/>
          </w:tcPr>
          <w:p w14:paraId="3179A3ED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no performance, prefinancing and retention guarantees</w:t>
            </w:r>
          </w:p>
          <w:p w14:paraId="229290AB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</w:tcPr>
          <w:p w14:paraId="6BC4B43B" w14:textId="77777777" w:rsidR="00E34C8C" w:rsidRPr="00DD74D3" w:rsidRDefault="00E34C8C" w:rsidP="000132B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15, 46, 47</w:t>
            </w:r>
          </w:p>
        </w:tc>
      </w:tr>
      <w:tr w:rsidR="00E34C8C" w:rsidRPr="00DD74D3" w14:paraId="20C1046C" w14:textId="77777777" w:rsidTr="00E34C8C">
        <w:tc>
          <w:tcPr>
            <w:tcW w:w="425" w:type="dxa"/>
            <w:shd w:val="clear" w:color="auto" w:fill="auto"/>
          </w:tcPr>
          <w:p w14:paraId="4D37C8BB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701C82AD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6387" w:type="dxa"/>
            <w:shd w:val="clear" w:color="auto" w:fill="auto"/>
          </w:tcPr>
          <w:p w14:paraId="10CE1166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126" w:type="dxa"/>
            <w:shd w:val="clear" w:color="auto" w:fill="auto"/>
          </w:tcPr>
          <w:p w14:paraId="4C7E34EB" w14:textId="77777777" w:rsidR="00E34C8C" w:rsidRPr="00DD74D3" w:rsidRDefault="00E34C8C" w:rsidP="000132B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E34C8C" w:rsidRPr="00DD74D3" w14:paraId="2DE08DF4" w14:textId="77777777" w:rsidTr="00E34C8C">
        <w:tc>
          <w:tcPr>
            <w:tcW w:w="425" w:type="dxa"/>
            <w:shd w:val="clear" w:color="auto" w:fill="auto"/>
          </w:tcPr>
          <w:p w14:paraId="27D3700A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57DEA13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387" w:type="dxa"/>
            <w:shd w:val="clear" w:color="auto" w:fill="auto"/>
          </w:tcPr>
          <w:p w14:paraId="7A89CED0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126" w:type="dxa"/>
            <w:shd w:val="clear" w:color="auto" w:fill="auto"/>
          </w:tcPr>
          <w:p w14:paraId="13D001C5" w14:textId="77777777" w:rsidR="00E34C8C" w:rsidRPr="00DD74D3" w:rsidRDefault="00E34C8C" w:rsidP="000132B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E34C8C" w:rsidRPr="00DD74D3" w14:paraId="7FCCB75D" w14:textId="77777777" w:rsidTr="00E34C8C">
        <w:tc>
          <w:tcPr>
            <w:tcW w:w="425" w:type="dxa"/>
            <w:shd w:val="clear" w:color="auto" w:fill="auto"/>
          </w:tcPr>
          <w:p w14:paraId="1AB283A3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D70CE52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387" w:type="dxa"/>
            <w:shd w:val="clear" w:color="auto" w:fill="auto"/>
          </w:tcPr>
          <w:p w14:paraId="7BA7EBEA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126" w:type="dxa"/>
            <w:shd w:val="clear" w:color="auto" w:fill="auto"/>
          </w:tcPr>
          <w:p w14:paraId="74125ED3" w14:textId="77777777" w:rsidR="00E34C8C" w:rsidRPr="00DD74D3" w:rsidRDefault="00E34C8C" w:rsidP="000132B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E34C8C" w:rsidRPr="00DD74D3" w14:paraId="06A86E01" w14:textId="77777777" w:rsidTr="00E34C8C">
        <w:tc>
          <w:tcPr>
            <w:tcW w:w="425" w:type="dxa"/>
            <w:shd w:val="clear" w:color="auto" w:fill="auto"/>
          </w:tcPr>
          <w:p w14:paraId="6BA36E95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7D63772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387" w:type="dxa"/>
            <w:shd w:val="clear" w:color="auto" w:fill="auto"/>
          </w:tcPr>
          <w:p w14:paraId="701A1137" w14:textId="77777777" w:rsidR="00E34C8C" w:rsidRPr="00DD74D3" w:rsidRDefault="00E34C8C" w:rsidP="000132B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126" w:type="dxa"/>
            <w:shd w:val="clear" w:color="auto" w:fill="auto"/>
          </w:tcPr>
          <w:p w14:paraId="33134E1D" w14:textId="77777777" w:rsidR="00E34C8C" w:rsidRPr="00DD74D3" w:rsidRDefault="00E34C8C" w:rsidP="000132B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7D6A46" w:rsidRPr="007D6A46" w14:paraId="502CB6D0" w14:textId="77777777" w:rsidTr="00E34C8C">
        <w:tc>
          <w:tcPr>
            <w:tcW w:w="425" w:type="dxa"/>
            <w:shd w:val="clear" w:color="auto" w:fill="auto"/>
          </w:tcPr>
          <w:p w14:paraId="0690CA13" w14:textId="77777777" w:rsidR="007D6A46" w:rsidRPr="007D6A46" w:rsidRDefault="007D6A46" w:rsidP="007D6A46">
            <w:pPr>
              <w:jc w:val="both"/>
              <w:rPr>
                <w:rFonts w:eastAsia="Calibri"/>
                <w:snapToGrid/>
                <w:sz w:val="22"/>
                <w:szCs w:val="22"/>
                <w:highlight w:val="yellow"/>
              </w:rPr>
            </w:pPr>
            <w:r w:rsidRPr="007D6A46">
              <w:rPr>
                <w:rFonts w:eastAsia="Calibri"/>
                <w:snapToGrid/>
                <w:sz w:val="22"/>
                <w:szCs w:val="22"/>
                <w:highlight w:val="yellow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7BA4E6BB" w14:textId="77777777" w:rsidR="007D6A46" w:rsidRPr="007D6A46" w:rsidRDefault="007D6A46" w:rsidP="007D6A46">
            <w:pPr>
              <w:jc w:val="both"/>
              <w:rPr>
                <w:rFonts w:eastAsia="Calibri"/>
                <w:snapToGrid/>
                <w:sz w:val="22"/>
                <w:szCs w:val="22"/>
                <w:highlight w:val="yellow"/>
              </w:rPr>
            </w:pPr>
            <w:r w:rsidRPr="007D6A46">
              <w:rPr>
                <w:rFonts w:eastAsia="Calibri"/>
                <w:snapToGrid/>
                <w:sz w:val="22"/>
                <w:szCs w:val="22"/>
                <w:highlight w:val="yellow"/>
              </w:rPr>
              <w:t>Payments</w:t>
            </w:r>
          </w:p>
        </w:tc>
        <w:tc>
          <w:tcPr>
            <w:tcW w:w="6387" w:type="dxa"/>
            <w:shd w:val="clear" w:color="auto" w:fill="auto"/>
          </w:tcPr>
          <w:p w14:paraId="00349E1B" w14:textId="161E475E" w:rsidR="007D6A46" w:rsidRPr="007D6A46" w:rsidRDefault="007D6A46" w:rsidP="007D6A46">
            <w:pPr>
              <w:jc w:val="both"/>
              <w:rPr>
                <w:rFonts w:eastAsia="Calibri"/>
                <w:snapToGrid/>
                <w:sz w:val="22"/>
                <w:szCs w:val="22"/>
                <w:highlight w:val="yellow"/>
              </w:rPr>
            </w:pPr>
            <w:r w:rsidRPr="007D6A46">
              <w:rPr>
                <w:rFonts w:eastAsia="Calibri"/>
                <w:snapToGrid/>
                <w:sz w:val="22"/>
                <w:szCs w:val="22"/>
                <w:highlight w:val="yellow"/>
              </w:rPr>
              <w:t>lump sum advance for 20% of the original contract price, after conclusion of the contract</w:t>
            </w:r>
          </w:p>
        </w:tc>
        <w:tc>
          <w:tcPr>
            <w:tcW w:w="1126" w:type="dxa"/>
            <w:shd w:val="clear" w:color="auto" w:fill="auto"/>
          </w:tcPr>
          <w:p w14:paraId="7DA2232F" w14:textId="203CA069" w:rsidR="007D6A46" w:rsidRPr="007D6A46" w:rsidRDefault="007D6A46" w:rsidP="007D6A46">
            <w:pPr>
              <w:jc w:val="center"/>
              <w:rPr>
                <w:rFonts w:eastAsia="Calibri"/>
                <w:snapToGrid/>
                <w:sz w:val="22"/>
                <w:szCs w:val="22"/>
                <w:highlight w:val="yellow"/>
              </w:rPr>
            </w:pPr>
            <w:r w:rsidRPr="007D6A46">
              <w:rPr>
                <w:rFonts w:eastAsia="Calibri"/>
                <w:snapToGrid/>
                <w:sz w:val="22"/>
                <w:szCs w:val="22"/>
                <w:highlight w:val="yellow"/>
              </w:rPr>
              <w:t>46</w:t>
            </w:r>
          </w:p>
        </w:tc>
      </w:tr>
      <w:tr w:rsidR="007D6A46" w:rsidRPr="007D6A46" w14:paraId="32D961C1" w14:textId="77777777" w:rsidTr="00E34C8C">
        <w:tc>
          <w:tcPr>
            <w:tcW w:w="425" w:type="dxa"/>
            <w:shd w:val="clear" w:color="auto" w:fill="auto"/>
          </w:tcPr>
          <w:p w14:paraId="30A50318" w14:textId="77777777" w:rsidR="007D6A46" w:rsidRPr="007D6A46" w:rsidRDefault="007D6A46" w:rsidP="007D6A46">
            <w:pPr>
              <w:jc w:val="both"/>
              <w:rPr>
                <w:rFonts w:eastAsia="Calibri"/>
                <w:snapToGrid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14:paraId="4574830A" w14:textId="77777777" w:rsidR="007D6A46" w:rsidRPr="007D6A46" w:rsidRDefault="007D6A46" w:rsidP="007D6A46">
            <w:pPr>
              <w:jc w:val="both"/>
              <w:rPr>
                <w:rFonts w:eastAsia="Calibri"/>
                <w:snapToGrid/>
                <w:sz w:val="22"/>
                <w:szCs w:val="22"/>
                <w:highlight w:val="yellow"/>
              </w:rPr>
            </w:pPr>
          </w:p>
        </w:tc>
        <w:tc>
          <w:tcPr>
            <w:tcW w:w="6387" w:type="dxa"/>
            <w:shd w:val="clear" w:color="auto" w:fill="auto"/>
          </w:tcPr>
          <w:p w14:paraId="21D3EFE0" w14:textId="50E2977D" w:rsidR="007D6A46" w:rsidRPr="007D6A46" w:rsidRDefault="007D6A46" w:rsidP="007D6A46">
            <w:pPr>
              <w:jc w:val="both"/>
              <w:rPr>
                <w:rFonts w:eastAsia="Calibri"/>
                <w:snapToGrid/>
                <w:sz w:val="22"/>
                <w:szCs w:val="24"/>
                <w:highlight w:val="yellow"/>
              </w:rPr>
            </w:pPr>
            <w:r w:rsidRPr="007D6A46">
              <w:rPr>
                <w:rFonts w:eastAsia="Calibri"/>
                <w:snapToGrid/>
                <w:sz w:val="22"/>
                <w:szCs w:val="22"/>
                <w:highlight w:val="yellow"/>
              </w:rPr>
              <w:t>Interim payment for 20%</w:t>
            </w:r>
            <w:r w:rsidRPr="007D6A46">
              <w:rPr>
                <w:rFonts w:eastAsia="Calibri"/>
                <w:snapToGrid/>
                <w:sz w:val="22"/>
                <w:szCs w:val="22"/>
                <w:highlight w:val="yellow"/>
                <w:lang w:val="bg-BG"/>
              </w:rPr>
              <w:t xml:space="preserve"> </w:t>
            </w:r>
            <w:r w:rsidRPr="007D6A46">
              <w:rPr>
                <w:rFonts w:eastAsia="Calibri"/>
                <w:snapToGrid/>
                <w:sz w:val="22"/>
                <w:szCs w:val="22"/>
                <w:highlight w:val="yellow"/>
              </w:rPr>
              <w:t>of the contract price, after completion of 40% of the firm quantities for which the Contractor submitted its all-in price.</w:t>
            </w:r>
          </w:p>
        </w:tc>
        <w:tc>
          <w:tcPr>
            <w:tcW w:w="1126" w:type="dxa"/>
            <w:shd w:val="clear" w:color="auto" w:fill="auto"/>
          </w:tcPr>
          <w:p w14:paraId="5AA624AA" w14:textId="1FDA6ADB" w:rsidR="007D6A46" w:rsidRPr="007D6A46" w:rsidRDefault="007D6A46" w:rsidP="007D6A46">
            <w:pPr>
              <w:jc w:val="center"/>
              <w:rPr>
                <w:rFonts w:eastAsia="Calibri"/>
                <w:snapToGrid/>
                <w:sz w:val="22"/>
                <w:szCs w:val="24"/>
                <w:highlight w:val="yellow"/>
              </w:rPr>
            </w:pPr>
            <w:r w:rsidRPr="007D6A46">
              <w:rPr>
                <w:rFonts w:eastAsia="Calibri"/>
                <w:snapToGrid/>
                <w:sz w:val="22"/>
                <w:szCs w:val="22"/>
                <w:highlight w:val="yellow"/>
              </w:rPr>
              <w:t>49, 50</w:t>
            </w:r>
          </w:p>
        </w:tc>
      </w:tr>
      <w:tr w:rsidR="007D6A46" w:rsidRPr="007D6A46" w14:paraId="6D782A3B" w14:textId="77777777" w:rsidTr="00E34C8C">
        <w:tc>
          <w:tcPr>
            <w:tcW w:w="425" w:type="dxa"/>
            <w:shd w:val="clear" w:color="auto" w:fill="auto"/>
          </w:tcPr>
          <w:p w14:paraId="0CDBF13D" w14:textId="77777777" w:rsidR="007D6A46" w:rsidRPr="007D6A46" w:rsidRDefault="007D6A46" w:rsidP="007D6A46">
            <w:pPr>
              <w:jc w:val="both"/>
              <w:rPr>
                <w:rFonts w:eastAsia="Calibri"/>
                <w:snapToGrid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14:paraId="6CC27053" w14:textId="77777777" w:rsidR="007D6A46" w:rsidRPr="007D6A46" w:rsidRDefault="007D6A46" w:rsidP="007D6A46">
            <w:pPr>
              <w:jc w:val="both"/>
              <w:rPr>
                <w:rFonts w:eastAsia="Calibri"/>
                <w:snapToGrid/>
                <w:sz w:val="22"/>
                <w:szCs w:val="22"/>
                <w:highlight w:val="yellow"/>
              </w:rPr>
            </w:pPr>
          </w:p>
        </w:tc>
        <w:tc>
          <w:tcPr>
            <w:tcW w:w="6387" w:type="dxa"/>
            <w:shd w:val="clear" w:color="auto" w:fill="auto"/>
          </w:tcPr>
          <w:p w14:paraId="7A5BFEB5" w14:textId="1942223C" w:rsidR="007D6A46" w:rsidRPr="007D6A46" w:rsidRDefault="007D6A46" w:rsidP="007D6A46">
            <w:pPr>
              <w:jc w:val="both"/>
              <w:rPr>
                <w:rFonts w:eastAsia="Calibri"/>
                <w:snapToGrid/>
                <w:sz w:val="22"/>
                <w:szCs w:val="24"/>
                <w:highlight w:val="yellow"/>
              </w:rPr>
            </w:pPr>
            <w:r w:rsidRPr="007D6A46">
              <w:rPr>
                <w:rFonts w:eastAsia="Calibri"/>
                <w:snapToGrid/>
                <w:sz w:val="22"/>
                <w:szCs w:val="22"/>
                <w:highlight w:val="yellow"/>
              </w:rPr>
              <w:t>Interim payment for 20% of the contract price, after completion of 60 % of the firm quantities for which the Contractor submitted its all-in price.</w:t>
            </w:r>
          </w:p>
        </w:tc>
        <w:tc>
          <w:tcPr>
            <w:tcW w:w="1126" w:type="dxa"/>
            <w:shd w:val="clear" w:color="auto" w:fill="auto"/>
          </w:tcPr>
          <w:p w14:paraId="36476EF3" w14:textId="19282700" w:rsidR="007D6A46" w:rsidRPr="007D6A46" w:rsidRDefault="007D6A46" w:rsidP="007D6A46">
            <w:pPr>
              <w:jc w:val="center"/>
              <w:rPr>
                <w:rFonts w:eastAsia="Calibri"/>
                <w:snapToGrid/>
                <w:sz w:val="22"/>
                <w:szCs w:val="24"/>
                <w:highlight w:val="yellow"/>
              </w:rPr>
            </w:pPr>
            <w:r w:rsidRPr="007D6A46">
              <w:rPr>
                <w:rFonts w:eastAsia="Calibri"/>
                <w:snapToGrid/>
                <w:sz w:val="22"/>
                <w:szCs w:val="22"/>
                <w:highlight w:val="yellow"/>
              </w:rPr>
              <w:t>49, 50</w:t>
            </w:r>
          </w:p>
        </w:tc>
      </w:tr>
      <w:tr w:rsidR="007D6A46" w:rsidRPr="007D6A46" w14:paraId="4A89EBE2" w14:textId="77777777" w:rsidTr="00E34C8C">
        <w:tc>
          <w:tcPr>
            <w:tcW w:w="425" w:type="dxa"/>
            <w:shd w:val="clear" w:color="auto" w:fill="auto"/>
          </w:tcPr>
          <w:p w14:paraId="4D81BE78" w14:textId="77777777" w:rsidR="007D6A46" w:rsidRPr="007D6A46" w:rsidRDefault="007D6A46" w:rsidP="007D6A46">
            <w:pPr>
              <w:jc w:val="both"/>
              <w:rPr>
                <w:rFonts w:eastAsia="Calibri"/>
                <w:snapToGrid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14:paraId="0574ECD2" w14:textId="77777777" w:rsidR="007D6A46" w:rsidRPr="007D6A46" w:rsidRDefault="007D6A46" w:rsidP="007D6A46">
            <w:pPr>
              <w:jc w:val="both"/>
              <w:rPr>
                <w:rFonts w:eastAsia="Calibri"/>
                <w:snapToGrid/>
                <w:sz w:val="22"/>
                <w:szCs w:val="22"/>
                <w:highlight w:val="yellow"/>
              </w:rPr>
            </w:pPr>
          </w:p>
        </w:tc>
        <w:tc>
          <w:tcPr>
            <w:tcW w:w="6387" w:type="dxa"/>
            <w:shd w:val="clear" w:color="auto" w:fill="auto"/>
          </w:tcPr>
          <w:p w14:paraId="71ADE4FD" w14:textId="346CDE41" w:rsidR="007D6A46" w:rsidRPr="007D6A46" w:rsidRDefault="007D6A46" w:rsidP="007D6A46">
            <w:pPr>
              <w:jc w:val="both"/>
              <w:rPr>
                <w:rFonts w:eastAsia="Calibri"/>
                <w:snapToGrid/>
                <w:sz w:val="22"/>
                <w:szCs w:val="24"/>
                <w:highlight w:val="yellow"/>
              </w:rPr>
            </w:pPr>
            <w:r w:rsidRPr="007D6A46">
              <w:rPr>
                <w:rFonts w:eastAsia="Calibri"/>
                <w:snapToGrid/>
                <w:sz w:val="22"/>
                <w:szCs w:val="24"/>
                <w:highlight w:val="yellow"/>
              </w:rPr>
              <w:t>Interim payment for 30 % after issuing of the Certificate of provisional acceptance (according to applicable national legislation for construction works).</w:t>
            </w:r>
          </w:p>
        </w:tc>
        <w:tc>
          <w:tcPr>
            <w:tcW w:w="1126" w:type="dxa"/>
            <w:shd w:val="clear" w:color="auto" w:fill="auto"/>
          </w:tcPr>
          <w:p w14:paraId="3736C0A9" w14:textId="4F972061" w:rsidR="007D6A46" w:rsidRPr="007D6A46" w:rsidRDefault="007D6A46" w:rsidP="007D6A46">
            <w:pPr>
              <w:jc w:val="center"/>
              <w:rPr>
                <w:rFonts w:eastAsia="Calibri"/>
                <w:snapToGrid/>
                <w:sz w:val="22"/>
                <w:szCs w:val="24"/>
                <w:highlight w:val="yellow"/>
              </w:rPr>
            </w:pPr>
            <w:r w:rsidRPr="007D6A46">
              <w:rPr>
                <w:rFonts w:eastAsia="Calibri"/>
                <w:snapToGrid/>
                <w:sz w:val="22"/>
                <w:szCs w:val="24"/>
                <w:highlight w:val="yellow"/>
              </w:rPr>
              <w:t>49, 50</w:t>
            </w:r>
          </w:p>
        </w:tc>
      </w:tr>
      <w:tr w:rsidR="007D6A46" w:rsidRPr="00DD74D3" w14:paraId="76773ED2" w14:textId="77777777" w:rsidTr="00E34C8C">
        <w:tc>
          <w:tcPr>
            <w:tcW w:w="425" w:type="dxa"/>
            <w:shd w:val="clear" w:color="auto" w:fill="auto"/>
          </w:tcPr>
          <w:p w14:paraId="54F3CD25" w14:textId="77777777" w:rsidR="007D6A46" w:rsidRPr="007D6A46" w:rsidRDefault="007D6A46" w:rsidP="007D6A46">
            <w:pPr>
              <w:jc w:val="both"/>
              <w:rPr>
                <w:rFonts w:eastAsia="Calibri"/>
                <w:snapToGrid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14:paraId="2811F463" w14:textId="77777777" w:rsidR="007D6A46" w:rsidRPr="007D6A46" w:rsidRDefault="007D6A46" w:rsidP="007D6A46">
            <w:pPr>
              <w:jc w:val="both"/>
              <w:rPr>
                <w:rFonts w:eastAsia="Calibri"/>
                <w:snapToGrid/>
                <w:sz w:val="22"/>
                <w:szCs w:val="22"/>
                <w:highlight w:val="yellow"/>
              </w:rPr>
            </w:pPr>
          </w:p>
        </w:tc>
        <w:tc>
          <w:tcPr>
            <w:tcW w:w="6387" w:type="dxa"/>
            <w:shd w:val="clear" w:color="auto" w:fill="auto"/>
          </w:tcPr>
          <w:p w14:paraId="53D93BAD" w14:textId="73C20EFD" w:rsidR="007D6A46" w:rsidRPr="007D6A46" w:rsidRDefault="007D6A46" w:rsidP="007D6A46">
            <w:pPr>
              <w:jc w:val="both"/>
              <w:rPr>
                <w:rFonts w:eastAsia="Calibri"/>
                <w:snapToGrid/>
                <w:sz w:val="22"/>
                <w:szCs w:val="24"/>
                <w:highlight w:val="yellow"/>
              </w:rPr>
            </w:pPr>
            <w:r w:rsidRPr="007D6A46">
              <w:rPr>
                <w:rFonts w:eastAsia="Calibri"/>
                <w:snapToGrid/>
                <w:sz w:val="22"/>
                <w:szCs w:val="24"/>
                <w:highlight w:val="yellow"/>
              </w:rPr>
              <w:t>Retention money for 10% of the contract price, after signed final statement of account (according to applicable national legislation for construction works).</w:t>
            </w:r>
          </w:p>
        </w:tc>
        <w:tc>
          <w:tcPr>
            <w:tcW w:w="1126" w:type="dxa"/>
            <w:shd w:val="clear" w:color="auto" w:fill="auto"/>
          </w:tcPr>
          <w:p w14:paraId="4FD34126" w14:textId="76C5F35F" w:rsidR="007D6A46" w:rsidRPr="007D6A46" w:rsidRDefault="007D6A46" w:rsidP="007D6A46">
            <w:pPr>
              <w:jc w:val="center"/>
              <w:rPr>
                <w:rFonts w:eastAsia="Calibri"/>
                <w:snapToGrid/>
                <w:sz w:val="22"/>
                <w:szCs w:val="24"/>
              </w:rPr>
            </w:pPr>
            <w:r w:rsidRPr="007D6A46">
              <w:rPr>
                <w:rFonts w:eastAsia="Calibri"/>
                <w:snapToGrid/>
                <w:sz w:val="22"/>
                <w:szCs w:val="24"/>
                <w:highlight w:val="yellow"/>
              </w:rPr>
              <w:t>47, 49</w:t>
            </w:r>
          </w:p>
        </w:tc>
      </w:tr>
    </w:tbl>
    <w:p w14:paraId="0231A1B0" w14:textId="3E48AA55" w:rsidR="002D3612" w:rsidRDefault="002D3612" w:rsidP="002D3612">
      <w:pPr>
        <w:spacing w:after="240"/>
        <w:ind w:right="-45"/>
        <w:jc w:val="both"/>
        <w:rPr>
          <w:sz w:val="22"/>
          <w:szCs w:val="22"/>
        </w:rPr>
      </w:pPr>
    </w:p>
    <w:p w14:paraId="4514992E" w14:textId="77777777" w:rsidR="002D3612" w:rsidRDefault="002D3612" w:rsidP="002D3612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14:paraId="4245550D" w14:textId="77777777" w:rsidR="002D3612" w:rsidRDefault="002D3612" w:rsidP="002D361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English in </w:t>
      </w:r>
      <w:r w:rsidRPr="007753C9">
        <w:rPr>
          <w:sz w:val="22"/>
          <w:szCs w:val="22"/>
        </w:rPr>
        <w:t>three</w:t>
      </w:r>
      <w:r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>originals</w:t>
      </w:r>
      <w:r>
        <w:rPr>
          <w:sz w:val="22"/>
          <w:szCs w:val="22"/>
        </w:rPr>
        <w:t xml:space="preserve"> – 2 /</w:t>
      </w:r>
      <w:r w:rsidRPr="007753C9">
        <w:rPr>
          <w:sz w:val="22"/>
          <w:szCs w:val="22"/>
        </w:rPr>
        <w:t>two/ originals for the Contracting authority and 1/one/ original for</w:t>
      </w:r>
      <w:r w:rsidRPr="00DB46AB">
        <w:rPr>
          <w:sz w:val="22"/>
          <w:szCs w:val="22"/>
          <w:highlight w:val="lightGray"/>
        </w:rPr>
        <w:t xml:space="preserve"> </w:t>
      </w:r>
      <w:r w:rsidRPr="00E725FE">
        <w:rPr>
          <w:sz w:val="22"/>
          <w:szCs w:val="22"/>
        </w:rPr>
        <w:t xml:space="preserve">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ontractor.</w:t>
      </w:r>
    </w:p>
    <w:p w14:paraId="7734A707" w14:textId="67C380A4" w:rsidR="00AE38F8" w:rsidRDefault="000E7647" w:rsidP="00063B37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0E7647" w:rsidRPr="00E725FE" w14:paraId="24B6B469" w14:textId="77777777" w:rsidTr="000132B1">
        <w:trPr>
          <w:trHeight w:val="520"/>
        </w:trPr>
        <w:tc>
          <w:tcPr>
            <w:tcW w:w="4253" w:type="dxa"/>
            <w:gridSpan w:val="2"/>
            <w:vAlign w:val="center"/>
          </w:tcPr>
          <w:p w14:paraId="7004C01A" w14:textId="77777777" w:rsidR="000E7647" w:rsidRPr="00E725FE" w:rsidRDefault="000E7647" w:rsidP="000132B1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  <w:vAlign w:val="center"/>
          </w:tcPr>
          <w:p w14:paraId="014A9159" w14:textId="77777777" w:rsidR="000E7647" w:rsidRPr="00E725FE" w:rsidRDefault="000E7647" w:rsidP="000132B1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0E7647" w:rsidRPr="00E725FE" w14:paraId="05EEF0CD" w14:textId="77777777" w:rsidTr="000132B1">
        <w:trPr>
          <w:trHeight w:val="555"/>
        </w:trPr>
        <w:tc>
          <w:tcPr>
            <w:tcW w:w="1134" w:type="dxa"/>
            <w:vAlign w:val="center"/>
          </w:tcPr>
          <w:p w14:paraId="1033F904" w14:textId="77777777" w:rsidR="000E7647" w:rsidRPr="00E725FE" w:rsidRDefault="000E7647" w:rsidP="000132B1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  <w:vAlign w:val="center"/>
          </w:tcPr>
          <w:p w14:paraId="34E4B767" w14:textId="77777777" w:rsidR="000E7647" w:rsidRPr="00E725FE" w:rsidRDefault="000E7647" w:rsidP="000132B1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55CBB4E" w14:textId="77777777" w:rsidR="000E7647" w:rsidRPr="00E725FE" w:rsidRDefault="000E7647" w:rsidP="000132B1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  <w:vAlign w:val="center"/>
          </w:tcPr>
          <w:p w14:paraId="118A691B" w14:textId="77777777" w:rsidR="000E7647" w:rsidRPr="00E725FE" w:rsidRDefault="000E7647" w:rsidP="000132B1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E7647" w:rsidRPr="00E725FE" w14:paraId="387E8DF7" w14:textId="77777777" w:rsidTr="000132B1">
        <w:trPr>
          <w:trHeight w:val="577"/>
        </w:trPr>
        <w:tc>
          <w:tcPr>
            <w:tcW w:w="1134" w:type="dxa"/>
            <w:vAlign w:val="center"/>
          </w:tcPr>
          <w:p w14:paraId="3A98A098" w14:textId="77777777" w:rsidR="000E7647" w:rsidRPr="00E725FE" w:rsidRDefault="000E7647" w:rsidP="000132B1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  <w:vAlign w:val="center"/>
          </w:tcPr>
          <w:p w14:paraId="0C55C2EF" w14:textId="77777777" w:rsidR="000E7647" w:rsidRPr="00E725FE" w:rsidRDefault="000E7647" w:rsidP="000132B1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1240AE3" w14:textId="77777777" w:rsidR="000E7647" w:rsidRPr="00E725FE" w:rsidRDefault="000E7647" w:rsidP="000132B1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  <w:vAlign w:val="center"/>
          </w:tcPr>
          <w:p w14:paraId="6EC28BEA" w14:textId="77777777" w:rsidR="000E7647" w:rsidRPr="00E725FE" w:rsidRDefault="000E7647" w:rsidP="000132B1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E7647" w:rsidRPr="00E725FE" w14:paraId="61C81F2C" w14:textId="77777777" w:rsidTr="000132B1">
        <w:trPr>
          <w:trHeight w:val="878"/>
        </w:trPr>
        <w:tc>
          <w:tcPr>
            <w:tcW w:w="1134" w:type="dxa"/>
            <w:vAlign w:val="center"/>
          </w:tcPr>
          <w:p w14:paraId="6A18FD3E" w14:textId="77777777" w:rsidR="000E7647" w:rsidRPr="00E725FE" w:rsidRDefault="000E7647" w:rsidP="000132B1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  <w:vAlign w:val="center"/>
          </w:tcPr>
          <w:p w14:paraId="5BB81C6C" w14:textId="77777777" w:rsidR="000E7647" w:rsidRPr="00E725FE" w:rsidRDefault="000E7647" w:rsidP="000132B1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1274076" w14:textId="77777777" w:rsidR="000E7647" w:rsidRPr="00E725FE" w:rsidRDefault="000E7647" w:rsidP="000132B1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  <w:vAlign w:val="center"/>
          </w:tcPr>
          <w:p w14:paraId="19E0D7EB" w14:textId="77777777" w:rsidR="000E7647" w:rsidRPr="00E725FE" w:rsidRDefault="000E7647" w:rsidP="000132B1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E7647" w:rsidRPr="00E725FE" w14:paraId="715CD104" w14:textId="77777777" w:rsidTr="000132B1">
        <w:trPr>
          <w:trHeight w:val="428"/>
        </w:trPr>
        <w:tc>
          <w:tcPr>
            <w:tcW w:w="1134" w:type="dxa"/>
            <w:vAlign w:val="center"/>
          </w:tcPr>
          <w:p w14:paraId="5560BBCA" w14:textId="77777777" w:rsidR="000E7647" w:rsidRPr="00E725FE" w:rsidRDefault="000E7647" w:rsidP="000132B1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  <w:vAlign w:val="center"/>
          </w:tcPr>
          <w:p w14:paraId="7B11284B" w14:textId="77777777" w:rsidR="000E7647" w:rsidRPr="00E725FE" w:rsidRDefault="000E7647" w:rsidP="000132B1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C43C55F" w14:textId="77777777" w:rsidR="000E7647" w:rsidRPr="00E725FE" w:rsidRDefault="000E7647" w:rsidP="000132B1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  <w:vAlign w:val="center"/>
          </w:tcPr>
          <w:p w14:paraId="2EF7BEBB" w14:textId="77777777" w:rsidR="000E7647" w:rsidRPr="00E725FE" w:rsidRDefault="000E7647" w:rsidP="000132B1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E7647" w:rsidRPr="00E725FE" w14:paraId="2854006E" w14:textId="77777777" w:rsidTr="000132B1">
        <w:trPr>
          <w:trHeight w:val="428"/>
        </w:trPr>
        <w:tc>
          <w:tcPr>
            <w:tcW w:w="1134" w:type="dxa"/>
            <w:vAlign w:val="center"/>
          </w:tcPr>
          <w:p w14:paraId="10CB726E" w14:textId="77777777" w:rsidR="000E7647" w:rsidRPr="00E725FE" w:rsidRDefault="000E7647" w:rsidP="000132B1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7F18FB2" w14:textId="77777777" w:rsidR="000E7647" w:rsidRPr="00E725FE" w:rsidRDefault="000E7647" w:rsidP="000132B1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922802C" w14:textId="77777777" w:rsidR="000E7647" w:rsidRPr="00E725FE" w:rsidRDefault="000E7647" w:rsidP="000132B1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4" w:type="dxa"/>
            <w:vAlign w:val="center"/>
          </w:tcPr>
          <w:p w14:paraId="7B9BF006" w14:textId="77777777" w:rsidR="000E7647" w:rsidRPr="00E725FE" w:rsidRDefault="000E7647" w:rsidP="000132B1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E7647" w:rsidRPr="00E725FE" w14:paraId="7FBE2411" w14:textId="77777777" w:rsidTr="000132B1">
        <w:trPr>
          <w:trHeight w:val="428"/>
        </w:trPr>
        <w:tc>
          <w:tcPr>
            <w:tcW w:w="1134" w:type="dxa"/>
            <w:vAlign w:val="center"/>
          </w:tcPr>
          <w:p w14:paraId="39A14551" w14:textId="77777777" w:rsidR="000E7647" w:rsidRPr="00E725FE" w:rsidRDefault="000E7647" w:rsidP="000132B1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7AED0798" w14:textId="77777777" w:rsidR="000E7647" w:rsidRPr="00E725FE" w:rsidRDefault="000E7647" w:rsidP="000132B1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58" w:type="dxa"/>
            <w:gridSpan w:val="2"/>
            <w:vAlign w:val="center"/>
          </w:tcPr>
          <w:p w14:paraId="724943E2" w14:textId="77777777" w:rsidR="000E7647" w:rsidRPr="00E725FE" w:rsidRDefault="000E7647" w:rsidP="000132B1">
            <w:pPr>
              <w:pStyle w:val="BodyText"/>
              <w:keepNext/>
              <w:spacing w:before="120" w:after="120"/>
              <w:ind w:hanging="5"/>
              <w:rPr>
                <w:rFonts w:ascii="Times New Roman" w:hAnsi="Times New Roman"/>
                <w:sz w:val="22"/>
                <w:szCs w:val="22"/>
              </w:rPr>
            </w:pPr>
            <w:r w:rsidRPr="00126DD9">
              <w:rPr>
                <w:rFonts w:ascii="Times New Roman" w:hAnsi="Times New Roman"/>
                <w:b/>
                <w:sz w:val="22"/>
                <w:szCs w:val="22"/>
              </w:rPr>
              <w:t>Second signature for the contracting authority</w:t>
            </w:r>
          </w:p>
        </w:tc>
      </w:tr>
      <w:tr w:rsidR="000E7647" w:rsidRPr="00E725FE" w14:paraId="56A9A161" w14:textId="77777777" w:rsidTr="000132B1">
        <w:trPr>
          <w:trHeight w:val="428"/>
        </w:trPr>
        <w:tc>
          <w:tcPr>
            <w:tcW w:w="1134" w:type="dxa"/>
            <w:vAlign w:val="center"/>
          </w:tcPr>
          <w:p w14:paraId="3C7AA0D4" w14:textId="77777777" w:rsidR="000E7647" w:rsidRPr="00E725FE" w:rsidRDefault="000E7647" w:rsidP="000132B1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4778BA35" w14:textId="77777777" w:rsidR="000E7647" w:rsidRPr="00E725FE" w:rsidRDefault="000E7647" w:rsidP="000132B1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D8C713F" w14:textId="77777777" w:rsidR="000E7647" w:rsidRPr="00E725FE" w:rsidRDefault="000E7647" w:rsidP="000132B1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  <w:vAlign w:val="center"/>
          </w:tcPr>
          <w:p w14:paraId="0FE1709B" w14:textId="77777777" w:rsidR="000E7647" w:rsidRPr="00E725FE" w:rsidRDefault="000E7647" w:rsidP="000132B1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E7647" w:rsidRPr="00E725FE" w14:paraId="030D2F9A" w14:textId="77777777" w:rsidTr="000132B1">
        <w:trPr>
          <w:trHeight w:val="428"/>
        </w:trPr>
        <w:tc>
          <w:tcPr>
            <w:tcW w:w="1134" w:type="dxa"/>
            <w:vAlign w:val="center"/>
          </w:tcPr>
          <w:p w14:paraId="44A0F37C" w14:textId="77777777" w:rsidR="000E7647" w:rsidRPr="00E725FE" w:rsidRDefault="000E7647" w:rsidP="000132B1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DA9AF71" w14:textId="77777777" w:rsidR="000E7647" w:rsidRPr="00E725FE" w:rsidRDefault="000E7647" w:rsidP="000132B1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1BC6243" w14:textId="77777777" w:rsidR="000E7647" w:rsidRPr="00E725FE" w:rsidRDefault="000E7647" w:rsidP="000132B1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  <w:vAlign w:val="center"/>
          </w:tcPr>
          <w:p w14:paraId="53126082" w14:textId="77777777" w:rsidR="000E7647" w:rsidRPr="00E725FE" w:rsidRDefault="000E7647" w:rsidP="000132B1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E7647" w:rsidRPr="00E725FE" w14:paraId="5F6A39BF" w14:textId="77777777" w:rsidTr="000132B1">
        <w:trPr>
          <w:trHeight w:val="428"/>
        </w:trPr>
        <w:tc>
          <w:tcPr>
            <w:tcW w:w="1134" w:type="dxa"/>
            <w:vAlign w:val="center"/>
          </w:tcPr>
          <w:p w14:paraId="2BE7C84A" w14:textId="77777777" w:rsidR="000E7647" w:rsidRPr="00E725FE" w:rsidRDefault="000E7647" w:rsidP="000132B1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75FB9234" w14:textId="77777777" w:rsidR="000E7647" w:rsidRPr="00E725FE" w:rsidRDefault="000E7647" w:rsidP="000132B1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F24C522" w14:textId="77777777" w:rsidR="000E7647" w:rsidRPr="00E725FE" w:rsidRDefault="000E7647" w:rsidP="000132B1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  <w:vAlign w:val="center"/>
          </w:tcPr>
          <w:p w14:paraId="50AB8716" w14:textId="77777777" w:rsidR="000E7647" w:rsidRPr="00E725FE" w:rsidRDefault="000E7647" w:rsidP="000132B1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E7647" w:rsidRPr="00E725FE" w14:paraId="1BD6BB9B" w14:textId="77777777" w:rsidTr="000132B1">
        <w:trPr>
          <w:trHeight w:val="428"/>
        </w:trPr>
        <w:tc>
          <w:tcPr>
            <w:tcW w:w="1134" w:type="dxa"/>
            <w:vAlign w:val="center"/>
          </w:tcPr>
          <w:p w14:paraId="09363DAA" w14:textId="77777777" w:rsidR="000E7647" w:rsidRPr="00E725FE" w:rsidRDefault="000E7647" w:rsidP="000132B1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00E85E1B" w14:textId="77777777" w:rsidR="000E7647" w:rsidRPr="00E725FE" w:rsidRDefault="000E7647" w:rsidP="000132B1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D6EDFE3" w14:textId="77777777" w:rsidR="000E7647" w:rsidRPr="00E725FE" w:rsidRDefault="000E7647" w:rsidP="000132B1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  <w:vAlign w:val="center"/>
          </w:tcPr>
          <w:p w14:paraId="518FFC81" w14:textId="77777777" w:rsidR="000E7647" w:rsidRPr="00E725FE" w:rsidRDefault="000E7647" w:rsidP="000132B1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22B11E8" w14:textId="77777777" w:rsidR="000E7647" w:rsidRPr="00063B37" w:rsidRDefault="000E7647" w:rsidP="00063B37">
      <w:pPr>
        <w:rPr>
          <w:sz w:val="22"/>
          <w:szCs w:val="22"/>
        </w:rPr>
      </w:pPr>
    </w:p>
    <w:sectPr w:rsidR="000E7647" w:rsidRPr="00063B37" w:rsidSect="00DD74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36E7D" w14:textId="77777777" w:rsidR="00DB46AB" w:rsidRPr="00E725FE" w:rsidRDefault="00DB46AB">
      <w:r w:rsidRPr="00E725FE">
        <w:separator/>
      </w:r>
    </w:p>
  </w:endnote>
  <w:endnote w:type="continuationSeparator" w:id="0">
    <w:p w14:paraId="2AB07E1C" w14:textId="77777777" w:rsidR="00DB46AB" w:rsidRPr="00E725FE" w:rsidRDefault="00DB46A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3EA71" w14:textId="77777777" w:rsidR="009D1893" w:rsidRDefault="00C145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189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1893">
      <w:rPr>
        <w:rStyle w:val="PageNumber"/>
        <w:noProof/>
      </w:rPr>
      <w:t>2</w:t>
    </w:r>
    <w:r>
      <w:rPr>
        <w:rStyle w:val="PageNumber"/>
      </w:rPr>
      <w:fldChar w:fldCharType="end"/>
    </w:r>
  </w:p>
  <w:p w14:paraId="2575B9E2" w14:textId="77777777"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748B6" w14:textId="77777777" w:rsidR="009D1893" w:rsidRPr="00063B37" w:rsidRDefault="0087113B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7113B">
      <w:rPr>
        <w:b/>
        <w:sz w:val="18"/>
      </w:rPr>
      <w:t>August 2020</w:t>
    </w:r>
    <w:r w:rsidR="009D1893" w:rsidRPr="00063B37">
      <w:rPr>
        <w:sz w:val="18"/>
        <w:szCs w:val="18"/>
      </w:rPr>
      <w:tab/>
      <w:t xml:space="preserve">Page </w:t>
    </w:r>
    <w:r w:rsidR="00C14578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C14578" w:rsidRPr="00063B37">
      <w:rPr>
        <w:rStyle w:val="PageNumber"/>
        <w:sz w:val="18"/>
        <w:szCs w:val="18"/>
      </w:rPr>
      <w:fldChar w:fldCharType="separate"/>
    </w:r>
    <w:r w:rsidR="002D3612">
      <w:rPr>
        <w:rStyle w:val="PageNumber"/>
        <w:noProof/>
        <w:sz w:val="18"/>
        <w:szCs w:val="18"/>
      </w:rPr>
      <w:t>3</w:t>
    </w:r>
    <w:r w:rsidR="00C14578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C14578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C14578" w:rsidRPr="00063B37">
      <w:rPr>
        <w:rStyle w:val="PageNumber"/>
        <w:sz w:val="18"/>
        <w:szCs w:val="18"/>
      </w:rPr>
      <w:fldChar w:fldCharType="separate"/>
    </w:r>
    <w:r w:rsidR="002D3612">
      <w:rPr>
        <w:rStyle w:val="PageNumber"/>
        <w:noProof/>
        <w:sz w:val="18"/>
        <w:szCs w:val="18"/>
      </w:rPr>
      <w:t>3</w:t>
    </w:r>
    <w:r w:rsidR="00C14578" w:rsidRPr="00063B37">
      <w:rPr>
        <w:rStyle w:val="PageNumber"/>
        <w:sz w:val="18"/>
        <w:szCs w:val="18"/>
      </w:rPr>
      <w:fldChar w:fldCharType="end"/>
    </w:r>
  </w:p>
  <w:p w14:paraId="153D3407" w14:textId="77777777" w:rsidR="009D1893" w:rsidRPr="00E725FE" w:rsidRDefault="00C14578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="009D1893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FD891" w14:textId="77777777" w:rsidR="009D1893" w:rsidRPr="00063B37" w:rsidRDefault="00DD74D3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C14578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C14578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C14578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C14578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C14578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="00C14578" w:rsidRPr="00063B37">
      <w:rPr>
        <w:rStyle w:val="PageNumber"/>
        <w:sz w:val="18"/>
        <w:szCs w:val="18"/>
      </w:rPr>
      <w:fldChar w:fldCharType="end"/>
    </w:r>
  </w:p>
  <w:p w14:paraId="6B33F9C8" w14:textId="77777777" w:rsidR="009D1893" w:rsidRPr="00E725FE" w:rsidRDefault="00C14578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="009D1893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B7B8E" w14:textId="77777777" w:rsidR="00DB46AB" w:rsidRPr="00E725FE" w:rsidRDefault="00DB46AB">
      <w:r w:rsidRPr="00E725FE">
        <w:separator/>
      </w:r>
    </w:p>
  </w:footnote>
  <w:footnote w:type="continuationSeparator" w:id="0">
    <w:p w14:paraId="1A3D7D47" w14:textId="77777777" w:rsidR="00DB46AB" w:rsidRPr="00E725FE" w:rsidRDefault="00DB46AB">
      <w:r w:rsidRPr="00E725FE">
        <w:continuationSeparator/>
      </w:r>
    </w:p>
  </w:footnote>
  <w:footnote w:id="1">
    <w:p w14:paraId="603E477C" w14:textId="77777777" w:rsidR="002D3612" w:rsidRPr="00E725FE" w:rsidRDefault="002D3612" w:rsidP="002D3612">
      <w:pPr>
        <w:pStyle w:val="FootnoteText"/>
      </w:pPr>
      <w:r w:rsidRPr="00E725FE">
        <w:rPr>
          <w:rStyle w:val="FootnoteReference"/>
        </w:rPr>
        <w:footnoteRef/>
      </w:r>
      <w:r>
        <w:t xml:space="preserve"> </w:t>
      </w:r>
      <w:r w:rsidRPr="00E725FE">
        <w:t>Where the contracting party is an individual.</w:t>
      </w:r>
    </w:p>
  </w:footnote>
  <w:footnote w:id="2">
    <w:p w14:paraId="50495037" w14:textId="77777777" w:rsidR="002D3612" w:rsidRPr="00E725FE" w:rsidRDefault="002D3612" w:rsidP="002D3612">
      <w:pPr>
        <w:pStyle w:val="FootnoteText"/>
      </w:pPr>
      <w:r w:rsidRPr="00E725FE">
        <w:rPr>
          <w:rStyle w:val="FootnoteReference"/>
        </w:rPr>
        <w:footnoteRef/>
      </w:r>
      <w:r>
        <w:t xml:space="preserve"> </w:t>
      </w:r>
      <w:r w:rsidRPr="00E725FE">
        <w:t xml:space="preserve">Where applicable. </w:t>
      </w:r>
    </w:p>
  </w:footnote>
  <w:footnote w:id="3">
    <w:p w14:paraId="27972499" w14:textId="77777777" w:rsidR="002D3612" w:rsidRPr="00E725FE" w:rsidRDefault="002D3612" w:rsidP="002D3612">
      <w:pPr>
        <w:pStyle w:val="FootnoteText"/>
      </w:pPr>
      <w:r w:rsidRPr="00E725FE">
        <w:rPr>
          <w:rStyle w:val="FootnoteReference"/>
        </w:rPr>
        <w:footnoteRef/>
      </w:r>
      <w:r>
        <w:t xml:space="preserve"> </w:t>
      </w:r>
      <w:r w:rsidRPr="00E725FE"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BB18C" w14:textId="77777777" w:rsidR="009B1867" w:rsidRDefault="00DB46AB" w:rsidP="009B1867">
    <w:pPr>
      <w:pStyle w:val="Header"/>
    </w:pPr>
    <w:bookmarkStart w:id="6" w:name="_Hlk55507702"/>
    <w:bookmarkStart w:id="7" w:name="_Hlk55507703"/>
    <w:bookmarkStart w:id="8" w:name="_Hlk55507844"/>
    <w:bookmarkStart w:id="9" w:name="_Hlk55507845"/>
    <w:bookmarkStart w:id="10" w:name="_Hlk55508007"/>
    <w:bookmarkStart w:id="11" w:name="_Hlk55508008"/>
    <w:bookmarkStart w:id="12" w:name="_Hlk55508016"/>
    <w:bookmarkStart w:id="13" w:name="_Hlk55508017"/>
    <w:bookmarkStart w:id="14" w:name="_Hlk55508019"/>
    <w:bookmarkStart w:id="15" w:name="_Hlk55508020"/>
    <w:bookmarkStart w:id="16" w:name="_Hlk55508022"/>
    <w:bookmarkStart w:id="17" w:name="_Hlk55508023"/>
    <w:bookmarkStart w:id="18" w:name="_Hlk55516442"/>
    <w:bookmarkStart w:id="19" w:name="_Hlk55516443"/>
    <w:bookmarkStart w:id="20" w:name="_Hlk55546200"/>
    <w:bookmarkStart w:id="21" w:name="_Hlk55546201"/>
    <w:bookmarkStart w:id="22" w:name="_Hlk55546554"/>
    <w:bookmarkStart w:id="23" w:name="_Hlk55546555"/>
    <w:bookmarkStart w:id="24" w:name="_Hlk55546572"/>
    <w:bookmarkStart w:id="25" w:name="_Hlk55546573"/>
    <w:bookmarkStart w:id="26" w:name="_Hlk55546591"/>
    <w:bookmarkStart w:id="27" w:name="_Hlk55546592"/>
    <w:r>
      <w:rPr>
        <w:noProof/>
      </w:rPr>
      <w:pict w14:anchorId="61E0F3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27.45pt;margin-top:-9.85pt;width:127.5pt;height:72.65pt;z-index:3">
          <v:imagedata r:id="rId1" o:title="Final"/>
        </v:shape>
      </w:pict>
    </w:r>
    <w:r>
      <w:rPr>
        <w:noProof/>
      </w:rPr>
      <w:pict w14:anchorId="0DF11901">
        <v:shape id="Picture 1" o:spid="_x0000_s2049" type="#_x0000_t75" style="position:absolute;margin-left:116.35pt;margin-top:-6.15pt;width:203.8pt;height:61.55pt;z-index:1;visibility:visible">
          <v:imagedata r:id="rId2" o:title=""/>
          <w10:wrap type="square"/>
        </v:shape>
      </w:pict>
    </w:r>
    <w:r>
      <w:rPr>
        <w:noProof/>
      </w:rPr>
      <w:pict w14:anchorId="7558F714">
        <v:shape id="Picture 2" o:spid="_x0000_s2050" type="#_x0000_t75" style="position:absolute;margin-left:-2.25pt;margin-top:-9.85pt;width:96.75pt;height:65.25pt;z-index:2;visibility:visible">
          <v:imagedata r:id="rId3" o:title=""/>
          <w10:wrap type="square"/>
        </v:shape>
      </w:pict>
    </w:r>
  </w:p>
  <w:p w14:paraId="68A74EA7" w14:textId="77777777" w:rsidR="009B1867" w:rsidRDefault="009B1867" w:rsidP="009B1867">
    <w:pPr>
      <w:pStyle w:val="Header"/>
      <w:rPr>
        <w:szCs w:val="22"/>
        <w:lang w:val="en-US"/>
      </w:rPr>
    </w:pPr>
  </w:p>
  <w:p w14:paraId="7581542D" w14:textId="77777777" w:rsidR="009B1867" w:rsidRDefault="009B1867" w:rsidP="009B1867">
    <w:pPr>
      <w:pStyle w:val="Header"/>
      <w:rPr>
        <w:szCs w:val="22"/>
        <w:lang w:val="en-US"/>
      </w:rPr>
    </w:pPr>
  </w:p>
  <w:p w14:paraId="7D8737AF" w14:textId="77777777" w:rsidR="009B1867" w:rsidRDefault="009B1867" w:rsidP="009B1867">
    <w:pPr>
      <w:pStyle w:val="Header"/>
      <w:rPr>
        <w:szCs w:val="22"/>
        <w:lang w:val="en-US"/>
      </w:rPr>
    </w:pPr>
  </w:p>
  <w:p w14:paraId="47701FCC" w14:textId="77777777" w:rsidR="009B1867" w:rsidRPr="00153347" w:rsidRDefault="009B1867" w:rsidP="009B1867">
    <w:pPr>
      <w:pStyle w:val="Header"/>
      <w:rPr>
        <w:sz w:val="22"/>
        <w:szCs w:val="22"/>
        <w:lang w:val="en-US"/>
      </w:rPr>
    </w:pPr>
    <w:r>
      <w:rPr>
        <w:sz w:val="22"/>
        <w:szCs w:val="22"/>
        <w:lang w:val="en-US"/>
      </w:rPr>
      <w:t xml:space="preserve">  </w:t>
    </w:r>
  </w:p>
  <w:p w14:paraId="3380AC41" w14:textId="77777777" w:rsidR="009B1867" w:rsidRDefault="009B1867" w:rsidP="009B1867">
    <w:pPr>
      <w:pStyle w:val="Header"/>
      <w:rPr>
        <w:szCs w:val="22"/>
        <w:lang w:val="en-US"/>
      </w:rPr>
    </w:pPr>
  </w:p>
  <w:p w14:paraId="6A5CF69A" w14:textId="77777777" w:rsidR="009B1867" w:rsidRPr="00863A5C" w:rsidRDefault="009B1867" w:rsidP="009B1867">
    <w:pPr>
      <w:pStyle w:val="Header"/>
      <w:jc w:val="center"/>
      <w:rPr>
        <w:rFonts w:ascii="Calibri Light" w:hAnsi="Calibri Light" w:cs="Calibri Light"/>
        <w:b/>
        <w:bCs/>
        <w:sz w:val="18"/>
        <w:szCs w:val="18"/>
        <w:lang w:val="en-US"/>
      </w:rPr>
    </w:pP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Project “Joint actions for prevention and reduction of the consequences of disasters in the municipalities of Sandanski and Radovish” (</w:t>
    </w:r>
    <w:proofErr w:type="spellStart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Ref.No</w:t>
    </w:r>
    <w:proofErr w:type="spellEnd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.</w:t>
    </w:r>
    <w:r w:rsidRPr="00863A5C">
      <w:rPr>
        <w:rFonts w:ascii="Calibri Light" w:hAnsi="Calibri Light" w:cs="Calibri Light"/>
        <w:b/>
        <w:bCs/>
        <w:sz w:val="18"/>
        <w:szCs w:val="18"/>
      </w:rPr>
      <w:t xml:space="preserve"> </w:t>
    </w: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CB006.2.12.0062)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p>
  <w:p w14:paraId="40CF1C48" w14:textId="7197150A" w:rsidR="00F062A3" w:rsidRDefault="00F062A3" w:rsidP="00F062A3">
    <w:pPr>
      <w:pStyle w:val="Header"/>
      <w:jc w:val="right"/>
      <w:rPr>
        <w:rFonts w:ascii="Times New Roman" w:hAnsi="Times New Roman"/>
        <w:b/>
        <w:bCs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 xml:space="preserve">NO </w:t>
    </w:r>
    <w:r w:rsidR="009B1867" w:rsidRPr="009B1867">
      <w:rPr>
        <w:rFonts w:ascii="Times New Roman" w:hAnsi="Times New Roman"/>
        <w:b/>
        <w:bCs/>
        <w:sz w:val="22"/>
        <w:szCs w:val="22"/>
      </w:rPr>
      <w:t>CB006.2.12.062-07</w:t>
    </w:r>
  </w:p>
  <w:p w14:paraId="4C0F2568" w14:textId="77777777" w:rsidR="00E34C8C" w:rsidRPr="00F062A3" w:rsidRDefault="00E34C8C" w:rsidP="00F062A3">
    <w:pPr>
      <w:pStyle w:val="Header"/>
      <w:jc w:val="right"/>
      <w:rPr>
        <w:rFonts w:ascii="Times New Roman" w:hAnsi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2E653" w14:textId="77777777"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561F9D"/>
    <w:multiLevelType w:val="hybridMultilevel"/>
    <w:tmpl w:val="DA9653C0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0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4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8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0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8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30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1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1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2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3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4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5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2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4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6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7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 w15:restartNumberingAfterBreak="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1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3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5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8" w15:restartNumberingAfterBreak="0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0" w15:restartNumberingAfterBreak="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6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3"/>
  </w:num>
  <w:num w:numId="2">
    <w:abstractNumId w:val="55"/>
  </w:num>
  <w:num w:numId="3">
    <w:abstractNumId w:val="79"/>
  </w:num>
  <w:num w:numId="4">
    <w:abstractNumId w:val="79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2"/>
  </w:num>
  <w:num w:numId="6">
    <w:abstractNumId w:val="50"/>
  </w:num>
  <w:num w:numId="7">
    <w:abstractNumId w:val="10"/>
  </w:num>
  <w:num w:numId="8">
    <w:abstractNumId w:val="64"/>
  </w:num>
  <w:num w:numId="9">
    <w:abstractNumId w:val="25"/>
  </w:num>
  <w:num w:numId="10">
    <w:abstractNumId w:val="34"/>
  </w:num>
  <w:num w:numId="11">
    <w:abstractNumId w:val="11"/>
  </w:num>
  <w:num w:numId="12">
    <w:abstractNumId w:val="26"/>
  </w:num>
  <w:num w:numId="13">
    <w:abstractNumId w:val="48"/>
  </w:num>
  <w:num w:numId="14">
    <w:abstractNumId w:val="14"/>
  </w:num>
  <w:num w:numId="15">
    <w:abstractNumId w:val="36"/>
  </w:num>
  <w:num w:numId="16">
    <w:abstractNumId w:val="74"/>
  </w:num>
  <w:num w:numId="17">
    <w:abstractNumId w:val="13"/>
  </w:num>
  <w:num w:numId="18">
    <w:abstractNumId w:val="18"/>
  </w:num>
  <w:num w:numId="19">
    <w:abstractNumId w:val="49"/>
  </w:num>
  <w:num w:numId="20">
    <w:abstractNumId w:val="75"/>
  </w:num>
  <w:num w:numId="21">
    <w:abstractNumId w:val="27"/>
  </w:num>
  <w:num w:numId="22">
    <w:abstractNumId w:val="17"/>
  </w:num>
  <w:num w:numId="23">
    <w:abstractNumId w:val="81"/>
  </w:num>
  <w:num w:numId="24">
    <w:abstractNumId w:val="43"/>
  </w:num>
  <w:num w:numId="25">
    <w:abstractNumId w:val="41"/>
  </w:num>
  <w:num w:numId="26">
    <w:abstractNumId w:val="60"/>
  </w:num>
  <w:num w:numId="27">
    <w:abstractNumId w:val="7"/>
  </w:num>
  <w:num w:numId="28">
    <w:abstractNumId w:val="71"/>
  </w:num>
  <w:num w:numId="29">
    <w:abstractNumId w:val="38"/>
  </w:num>
  <w:num w:numId="30">
    <w:abstractNumId w:val="23"/>
  </w:num>
  <w:num w:numId="31">
    <w:abstractNumId w:val="76"/>
  </w:num>
  <w:num w:numId="32">
    <w:abstractNumId w:val="80"/>
  </w:num>
  <w:num w:numId="33">
    <w:abstractNumId w:val="12"/>
  </w:num>
  <w:num w:numId="34">
    <w:abstractNumId w:val="68"/>
  </w:num>
  <w:num w:numId="35">
    <w:abstractNumId w:val="54"/>
  </w:num>
  <w:num w:numId="36">
    <w:abstractNumId w:val="4"/>
  </w:num>
  <w:num w:numId="37">
    <w:abstractNumId w:val="3"/>
  </w:num>
  <w:num w:numId="38">
    <w:abstractNumId w:val="37"/>
  </w:num>
  <w:num w:numId="39">
    <w:abstractNumId w:val="45"/>
  </w:num>
  <w:num w:numId="40">
    <w:abstractNumId w:val="63"/>
  </w:num>
  <w:num w:numId="41">
    <w:abstractNumId w:val="16"/>
  </w:num>
  <w:num w:numId="42">
    <w:abstractNumId w:val="40"/>
  </w:num>
  <w:num w:numId="43">
    <w:abstractNumId w:val="58"/>
  </w:num>
  <w:num w:numId="44">
    <w:abstractNumId w:val="70"/>
  </w:num>
  <w:num w:numId="45">
    <w:abstractNumId w:val="46"/>
  </w:num>
  <w:num w:numId="46">
    <w:abstractNumId w:val="52"/>
  </w:num>
  <w:num w:numId="47">
    <w:abstractNumId w:val="35"/>
  </w:num>
  <w:num w:numId="48">
    <w:abstractNumId w:val="69"/>
  </w:num>
  <w:num w:numId="49">
    <w:abstractNumId w:val="30"/>
  </w:num>
  <w:num w:numId="50">
    <w:abstractNumId w:val="66"/>
  </w:num>
  <w:num w:numId="51">
    <w:abstractNumId w:val="51"/>
  </w:num>
  <w:num w:numId="52">
    <w:abstractNumId w:val="62"/>
  </w:num>
  <w:num w:numId="53">
    <w:abstractNumId w:val="6"/>
  </w:num>
  <w:num w:numId="54">
    <w:abstractNumId w:val="47"/>
  </w:num>
  <w:num w:numId="55">
    <w:abstractNumId w:val="77"/>
  </w:num>
  <w:num w:numId="56">
    <w:abstractNumId w:val="28"/>
  </w:num>
  <w:num w:numId="57">
    <w:abstractNumId w:val="67"/>
  </w:num>
  <w:num w:numId="58">
    <w:abstractNumId w:val="61"/>
  </w:num>
  <w:num w:numId="59">
    <w:abstractNumId w:val="72"/>
  </w:num>
  <w:num w:numId="60">
    <w:abstractNumId w:val="24"/>
  </w:num>
  <w:num w:numId="61">
    <w:abstractNumId w:val="1"/>
  </w:num>
  <w:num w:numId="62">
    <w:abstractNumId w:val="56"/>
  </w:num>
  <w:num w:numId="63">
    <w:abstractNumId w:val="57"/>
  </w:num>
  <w:num w:numId="64">
    <w:abstractNumId w:val="44"/>
  </w:num>
  <w:num w:numId="65">
    <w:abstractNumId w:val="19"/>
  </w:num>
  <w:num w:numId="66">
    <w:abstractNumId w:val="65"/>
    <w:lvlOverride w:ilvl="0">
      <w:startOverride w:val="1"/>
    </w:lvlOverride>
  </w:num>
  <w:num w:numId="67">
    <w:abstractNumId w:val="65"/>
    <w:lvlOverride w:ilvl="0">
      <w:startOverride w:val="1"/>
    </w:lvlOverride>
  </w:num>
  <w:num w:numId="68">
    <w:abstractNumId w:val="65"/>
    <w:lvlOverride w:ilvl="0">
      <w:startOverride w:val="1"/>
    </w:lvlOverride>
  </w:num>
  <w:num w:numId="69">
    <w:abstractNumId w:val="65"/>
    <w:lvlOverride w:ilvl="0">
      <w:startOverride w:val="1"/>
    </w:lvlOverride>
  </w:num>
  <w:num w:numId="70">
    <w:abstractNumId w:val="65"/>
    <w:lvlOverride w:ilvl="0">
      <w:startOverride w:val="1"/>
    </w:lvlOverride>
  </w:num>
  <w:num w:numId="71">
    <w:abstractNumId w:val="65"/>
    <w:lvlOverride w:ilvl="0">
      <w:startOverride w:val="1"/>
    </w:lvlOverride>
  </w:num>
  <w:num w:numId="72">
    <w:abstractNumId w:val="65"/>
    <w:lvlOverride w:ilvl="0">
      <w:startOverride w:val="1"/>
    </w:lvlOverride>
  </w:num>
  <w:num w:numId="73">
    <w:abstractNumId w:val="65"/>
    <w:lvlOverride w:ilvl="0">
      <w:startOverride w:val="1"/>
    </w:lvlOverride>
  </w:num>
  <w:num w:numId="74">
    <w:abstractNumId w:val="65"/>
    <w:lvlOverride w:ilvl="0">
      <w:startOverride w:val="1"/>
    </w:lvlOverride>
  </w:num>
  <w:num w:numId="75">
    <w:abstractNumId w:val="65"/>
    <w:lvlOverride w:ilvl="0">
      <w:startOverride w:val="1"/>
    </w:lvlOverride>
  </w:num>
  <w:num w:numId="76">
    <w:abstractNumId w:val="65"/>
    <w:lvlOverride w:ilvl="0">
      <w:startOverride w:val="1"/>
    </w:lvlOverride>
  </w:num>
  <w:num w:numId="77">
    <w:abstractNumId w:val="65"/>
    <w:lvlOverride w:ilvl="0">
      <w:startOverride w:val="1"/>
    </w:lvlOverride>
  </w:num>
  <w:num w:numId="78">
    <w:abstractNumId w:val="65"/>
    <w:lvlOverride w:ilvl="0">
      <w:startOverride w:val="1"/>
    </w:lvlOverride>
  </w:num>
  <w:num w:numId="79">
    <w:abstractNumId w:val="65"/>
    <w:lvlOverride w:ilvl="0">
      <w:startOverride w:val="1"/>
    </w:lvlOverride>
  </w:num>
  <w:num w:numId="80">
    <w:abstractNumId w:val="65"/>
    <w:lvlOverride w:ilvl="0">
      <w:startOverride w:val="1"/>
    </w:lvlOverride>
  </w:num>
  <w:num w:numId="81">
    <w:abstractNumId w:val="65"/>
    <w:lvlOverride w:ilvl="0">
      <w:startOverride w:val="1"/>
    </w:lvlOverride>
  </w:num>
  <w:num w:numId="82">
    <w:abstractNumId w:val="65"/>
  </w:num>
  <w:num w:numId="83">
    <w:abstractNumId w:val="65"/>
    <w:lvlOverride w:ilvl="0">
      <w:startOverride w:val="1"/>
    </w:lvlOverride>
  </w:num>
  <w:num w:numId="84">
    <w:abstractNumId w:val="65"/>
    <w:lvlOverride w:ilvl="0">
      <w:startOverride w:val="1"/>
    </w:lvlOverride>
  </w:num>
  <w:num w:numId="85">
    <w:abstractNumId w:val="65"/>
    <w:lvlOverride w:ilvl="0">
      <w:startOverride w:val="1"/>
    </w:lvlOverride>
  </w:num>
  <w:num w:numId="86">
    <w:abstractNumId w:val="65"/>
    <w:lvlOverride w:ilvl="0">
      <w:startOverride w:val="1"/>
    </w:lvlOverride>
  </w:num>
  <w:num w:numId="87">
    <w:abstractNumId w:val="65"/>
    <w:lvlOverride w:ilvl="0">
      <w:startOverride w:val="1"/>
    </w:lvlOverride>
  </w:num>
  <w:num w:numId="88">
    <w:abstractNumId w:val="65"/>
    <w:lvlOverride w:ilvl="0">
      <w:startOverride w:val="1"/>
    </w:lvlOverride>
  </w:num>
  <w:num w:numId="89">
    <w:abstractNumId w:val="65"/>
    <w:lvlOverride w:ilvl="0">
      <w:startOverride w:val="1"/>
    </w:lvlOverride>
  </w:num>
  <w:num w:numId="90">
    <w:abstractNumId w:val="65"/>
    <w:lvlOverride w:ilvl="0">
      <w:startOverride w:val="1"/>
    </w:lvlOverride>
  </w:num>
  <w:num w:numId="91">
    <w:abstractNumId w:val="65"/>
    <w:lvlOverride w:ilvl="0">
      <w:startOverride w:val="1"/>
    </w:lvlOverride>
  </w:num>
  <w:num w:numId="92">
    <w:abstractNumId w:val="65"/>
    <w:lvlOverride w:ilvl="0">
      <w:startOverride w:val="1"/>
    </w:lvlOverride>
  </w:num>
  <w:num w:numId="93">
    <w:abstractNumId w:val="65"/>
    <w:lvlOverride w:ilvl="0">
      <w:startOverride w:val="1"/>
    </w:lvlOverride>
  </w:num>
  <w:num w:numId="94">
    <w:abstractNumId w:val="65"/>
    <w:lvlOverride w:ilvl="0">
      <w:startOverride w:val="1"/>
    </w:lvlOverride>
  </w:num>
  <w:num w:numId="95">
    <w:abstractNumId w:val="65"/>
    <w:lvlOverride w:ilvl="0">
      <w:startOverride w:val="1"/>
    </w:lvlOverride>
  </w:num>
  <w:num w:numId="96">
    <w:abstractNumId w:val="65"/>
    <w:lvlOverride w:ilvl="0">
      <w:startOverride w:val="1"/>
    </w:lvlOverride>
  </w:num>
  <w:num w:numId="97">
    <w:abstractNumId w:val="65"/>
    <w:lvlOverride w:ilvl="0">
      <w:startOverride w:val="1"/>
    </w:lvlOverride>
  </w:num>
  <w:num w:numId="98">
    <w:abstractNumId w:val="65"/>
    <w:lvlOverride w:ilvl="0">
      <w:startOverride w:val="1"/>
    </w:lvlOverride>
  </w:num>
  <w:num w:numId="99">
    <w:abstractNumId w:val="9"/>
  </w:num>
  <w:num w:numId="100">
    <w:abstractNumId w:val="5"/>
  </w:num>
  <w:num w:numId="101">
    <w:abstractNumId w:val="15"/>
  </w:num>
  <w:num w:numId="102">
    <w:abstractNumId w:val="33"/>
  </w:num>
  <w:num w:numId="103">
    <w:abstractNumId w:val="2"/>
  </w:num>
  <w:num w:numId="104">
    <w:abstractNumId w:val="32"/>
  </w:num>
  <w:num w:numId="105">
    <w:abstractNumId w:val="29"/>
  </w:num>
  <w:num w:numId="106">
    <w:abstractNumId w:val="20"/>
  </w:num>
  <w:num w:numId="107">
    <w:abstractNumId w:val="39"/>
  </w:num>
  <w:num w:numId="108">
    <w:abstractNumId w:val="59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1"/>
  </w:num>
  <w:num w:numId="111">
    <w:abstractNumId w:val="21"/>
  </w:num>
  <w:num w:numId="112">
    <w:abstractNumId w:val="53"/>
  </w:num>
  <w:num w:numId="113">
    <w:abstractNumId w:val="78"/>
  </w:num>
  <w:num w:numId="114">
    <w:abstractNumId w:val="22"/>
  </w:num>
  <w:num w:numId="115">
    <w:abstractNumId w:val="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MjS0NDUxNzY0MLBU0lEKTi0uzszPAykwrgUAE8HoVCwAAAA="/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8F3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E7647"/>
    <w:rsid w:val="000F3174"/>
    <w:rsid w:val="000F39C3"/>
    <w:rsid w:val="001050EE"/>
    <w:rsid w:val="001059D1"/>
    <w:rsid w:val="00107540"/>
    <w:rsid w:val="00111A38"/>
    <w:rsid w:val="00111B7A"/>
    <w:rsid w:val="00114F35"/>
    <w:rsid w:val="0012690B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2021F4"/>
    <w:rsid w:val="0020276C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3612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0795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26039"/>
    <w:rsid w:val="006316A2"/>
    <w:rsid w:val="0063320F"/>
    <w:rsid w:val="00636B1D"/>
    <w:rsid w:val="00637AA6"/>
    <w:rsid w:val="00641155"/>
    <w:rsid w:val="0065276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00FF"/>
    <w:rsid w:val="007D5114"/>
    <w:rsid w:val="007D6359"/>
    <w:rsid w:val="007D6A46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6754"/>
    <w:rsid w:val="0086700B"/>
    <w:rsid w:val="0087113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0785F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4535"/>
    <w:rsid w:val="00980BB8"/>
    <w:rsid w:val="00984C48"/>
    <w:rsid w:val="00990012"/>
    <w:rsid w:val="009B1867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1FFF"/>
    <w:rsid w:val="00BE7A65"/>
    <w:rsid w:val="00BF0782"/>
    <w:rsid w:val="00BF1706"/>
    <w:rsid w:val="00BF4853"/>
    <w:rsid w:val="00C03D9E"/>
    <w:rsid w:val="00C05B9A"/>
    <w:rsid w:val="00C14578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334C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0866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46AB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34C8C"/>
    <w:rsid w:val="00E40327"/>
    <w:rsid w:val="00E54183"/>
    <w:rsid w:val="00E61684"/>
    <w:rsid w:val="00E725FE"/>
    <w:rsid w:val="00E72F15"/>
    <w:rsid w:val="00E75A03"/>
    <w:rsid w:val="00E76613"/>
    <w:rsid w:val="00E76CEA"/>
    <w:rsid w:val="00E954FD"/>
    <w:rsid w:val="00E95D40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54C76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F819A22"/>
  <w15:docId w15:val="{CF5C046A-B9E0-4BF4-9A66-E8BB3C86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7759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C14578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C14578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rsid w:val="00C14578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rsid w:val="00C14578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C14578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C14578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C14578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C1457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C14578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C14578"/>
    <w:pPr>
      <w:ind w:left="2127" w:hanging="1418"/>
    </w:pPr>
  </w:style>
  <w:style w:type="paragraph" w:customStyle="1" w:styleId="2zanoren">
    <w:name w:val="2.zanorení"/>
    <w:basedOn w:val="text-3mezera"/>
    <w:rsid w:val="00C14578"/>
    <w:pPr>
      <w:ind w:left="3402" w:hanging="1278"/>
    </w:pPr>
  </w:style>
  <w:style w:type="paragraph" w:customStyle="1" w:styleId="bulletsub">
    <w:name w:val="bullet_sub"/>
    <w:basedOn w:val="Normal"/>
    <w:rsid w:val="00C1457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C14578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C14578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C14578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C1457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C14578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C14578"/>
    <w:pPr>
      <w:jc w:val="both"/>
    </w:pPr>
    <w:rPr>
      <w:sz w:val="22"/>
    </w:rPr>
  </w:style>
  <w:style w:type="paragraph" w:styleId="BodyText">
    <w:name w:val="Body Text"/>
    <w:basedOn w:val="Normal"/>
    <w:link w:val="BodyTextChar"/>
    <w:rsid w:val="00C14578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C14578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C14578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B7759"/>
    <w:rPr>
      <w:sz w:val="20"/>
    </w:rPr>
  </w:style>
  <w:style w:type="character" w:styleId="Hyperlink">
    <w:name w:val="Hyperlink"/>
    <w:rsid w:val="00C14578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C14578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C1457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C14578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C14578"/>
    <w:pPr>
      <w:ind w:left="567" w:hanging="567"/>
    </w:pPr>
  </w:style>
  <w:style w:type="paragraph" w:customStyle="1" w:styleId="Nadpis-STRANA">
    <w:name w:val="Nadpis - STRANA"/>
    <w:basedOn w:val="text"/>
    <w:next w:val="Volume"/>
    <w:rsid w:val="00C14578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C14578"/>
    <w:rPr>
      <w:vertAlign w:val="superscript"/>
    </w:rPr>
  </w:style>
  <w:style w:type="character" w:styleId="PageNumber">
    <w:name w:val="page number"/>
    <w:basedOn w:val="DefaultParagraphFont"/>
    <w:rsid w:val="00C14578"/>
  </w:style>
  <w:style w:type="paragraph" w:styleId="PlainText">
    <w:name w:val="Plain Text"/>
    <w:basedOn w:val="Normal"/>
    <w:rsid w:val="00C14578"/>
    <w:rPr>
      <w:rFonts w:ascii="Courier New" w:hAnsi="Courier New"/>
      <w:sz w:val="20"/>
    </w:rPr>
  </w:style>
  <w:style w:type="character" w:styleId="FollowedHyperlink">
    <w:name w:val="FollowedHyperlink"/>
    <w:rsid w:val="00C14578"/>
    <w:rPr>
      <w:color w:val="800080"/>
      <w:u w:val="single"/>
    </w:rPr>
  </w:style>
  <w:style w:type="paragraph" w:customStyle="1" w:styleId="Blockquote">
    <w:name w:val="Blockquote"/>
    <w:basedOn w:val="Normal"/>
    <w:rsid w:val="00C14578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C14578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C14578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C14578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C1457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C1457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C14578"/>
    <w:pPr>
      <w:ind w:left="480"/>
    </w:pPr>
  </w:style>
  <w:style w:type="paragraph" w:styleId="TOC4">
    <w:name w:val="toc 4"/>
    <w:basedOn w:val="Normal"/>
    <w:next w:val="Normal"/>
    <w:autoRedefine/>
    <w:semiHidden/>
    <w:rsid w:val="00C14578"/>
    <w:pPr>
      <w:ind w:left="720"/>
    </w:pPr>
  </w:style>
  <w:style w:type="paragraph" w:styleId="TOC5">
    <w:name w:val="toc 5"/>
    <w:basedOn w:val="Normal"/>
    <w:next w:val="Normal"/>
    <w:autoRedefine/>
    <w:semiHidden/>
    <w:rsid w:val="00C14578"/>
    <w:pPr>
      <w:ind w:left="960"/>
    </w:pPr>
  </w:style>
  <w:style w:type="paragraph" w:styleId="TOC6">
    <w:name w:val="toc 6"/>
    <w:basedOn w:val="Normal"/>
    <w:next w:val="Normal"/>
    <w:autoRedefine/>
    <w:semiHidden/>
    <w:rsid w:val="00C14578"/>
    <w:pPr>
      <w:ind w:left="1200"/>
    </w:pPr>
  </w:style>
  <w:style w:type="paragraph" w:styleId="TOC7">
    <w:name w:val="toc 7"/>
    <w:basedOn w:val="Normal"/>
    <w:next w:val="Normal"/>
    <w:autoRedefine/>
    <w:semiHidden/>
    <w:rsid w:val="00C14578"/>
    <w:pPr>
      <w:ind w:left="1440"/>
    </w:pPr>
  </w:style>
  <w:style w:type="paragraph" w:styleId="TOC8">
    <w:name w:val="toc 8"/>
    <w:basedOn w:val="Normal"/>
    <w:next w:val="Normal"/>
    <w:autoRedefine/>
    <w:semiHidden/>
    <w:rsid w:val="00C14578"/>
    <w:pPr>
      <w:ind w:left="1680"/>
    </w:pPr>
  </w:style>
  <w:style w:type="paragraph" w:styleId="TOC9">
    <w:name w:val="toc 9"/>
    <w:basedOn w:val="Normal"/>
    <w:next w:val="Normal"/>
    <w:autoRedefine/>
    <w:semiHidden/>
    <w:rsid w:val="00C14578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C14578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C14578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F0C4E"/>
    <w:rPr>
      <w:rFonts w:ascii="Calibri" w:eastAsia="Calibri" w:hAnsi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0578F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ListNumber">
    <w:name w:val="List Number"/>
    <w:basedOn w:val="Normal"/>
    <w:rsid w:val="000F3174"/>
    <w:pPr>
      <w:numPr>
        <w:numId w:val="114"/>
      </w:numPr>
      <w:spacing w:after="24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0F3174"/>
    <w:pPr>
      <w:numPr>
        <w:ilvl w:val="1"/>
        <w:numId w:val="114"/>
      </w:numPr>
      <w:spacing w:after="24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0F3174"/>
    <w:pPr>
      <w:numPr>
        <w:ilvl w:val="2"/>
        <w:numId w:val="114"/>
      </w:numPr>
      <w:spacing w:after="24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0F3174"/>
    <w:pPr>
      <w:numPr>
        <w:ilvl w:val="3"/>
        <w:numId w:val="114"/>
      </w:numPr>
      <w:spacing w:after="240"/>
      <w:jc w:val="both"/>
    </w:pPr>
    <w:rPr>
      <w:snapToGrid/>
    </w:rPr>
  </w:style>
  <w:style w:type="paragraph" w:customStyle="1" w:styleId="PRAGHeading2">
    <w:name w:val="PRAG Heading 2"/>
    <w:basedOn w:val="Normal"/>
    <w:rsid w:val="002D3612"/>
    <w:pPr>
      <w:widowControl w:val="0"/>
      <w:numPr>
        <w:numId w:val="115"/>
      </w:numPr>
      <w:spacing w:before="100" w:after="100"/>
    </w:pPr>
    <w:rPr>
      <w:lang w:val="fr-FR"/>
    </w:rPr>
  </w:style>
  <w:style w:type="character" w:customStyle="1" w:styleId="HeaderChar">
    <w:name w:val="Header Char"/>
    <w:link w:val="Header"/>
    <w:uiPriority w:val="99"/>
    <w:rsid w:val="009B1867"/>
    <w:rPr>
      <w:rFonts w:ascii="Arial" w:hAnsi="Arial"/>
      <w:snapToGrid w:val="0"/>
      <w:lang w:val="en-GB" w:eastAsia="en-US"/>
    </w:rPr>
  </w:style>
  <w:style w:type="character" w:customStyle="1" w:styleId="BodyTextChar">
    <w:name w:val="Body Text Char"/>
    <w:link w:val="BodyText"/>
    <w:rsid w:val="000E7647"/>
    <w:rPr>
      <w:rFonts w:ascii="Arial" w:hAnsi="Arial"/>
      <w:snapToGrid w:val="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68D6E-9494-4279-8A95-34BBB1777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Plamen Todorov</cp:lastModifiedBy>
  <cp:revision>21</cp:revision>
  <cp:lastPrinted>2015-01-23T10:55:00Z</cp:lastPrinted>
  <dcterms:created xsi:type="dcterms:W3CDTF">2018-12-18T13:17:00Z</dcterms:created>
  <dcterms:modified xsi:type="dcterms:W3CDTF">2020-11-06T13:24:00Z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